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AE5EC" w14:textId="77777777" w:rsidR="005A1E8B" w:rsidRDefault="005A1E8B" w:rsidP="00332AF6">
      <w:pPr>
        <w:spacing w:after="0" w:line="276" w:lineRule="auto"/>
        <w:jc w:val="both"/>
        <w:rPr>
          <w:rFonts w:ascii="Garamond" w:hAnsi="Garamond"/>
          <w:b/>
          <w:bCs/>
          <w:sz w:val="24"/>
          <w:szCs w:val="24"/>
        </w:rPr>
      </w:pPr>
    </w:p>
    <w:p w14:paraId="064749D1" w14:textId="3CA12170" w:rsidR="00332AF6" w:rsidRPr="00332AF6" w:rsidRDefault="00232CFA" w:rsidP="00332AF6">
      <w:pPr>
        <w:spacing w:after="0" w:line="276" w:lineRule="auto"/>
        <w:jc w:val="both"/>
        <w:rPr>
          <w:rFonts w:ascii="Garamond" w:hAnsi="Garamond"/>
          <w:b/>
          <w:bCs/>
          <w:sz w:val="25"/>
          <w:szCs w:val="24"/>
        </w:rPr>
      </w:pPr>
      <w:r>
        <w:rPr>
          <w:rFonts w:ascii="Garamond" w:hAnsi="Garamond"/>
          <w:b/>
          <w:bCs/>
          <w:sz w:val="25"/>
          <w:szCs w:val="24"/>
        </w:rPr>
        <w:t xml:space="preserve">Charles </w:t>
      </w:r>
      <w:r w:rsidR="00332AF6" w:rsidRPr="00332AF6">
        <w:rPr>
          <w:rFonts w:ascii="Garamond" w:hAnsi="Garamond"/>
          <w:b/>
          <w:bCs/>
          <w:sz w:val="25"/>
          <w:szCs w:val="24"/>
        </w:rPr>
        <w:t>De Foucauld, ovvero la Chiesa del «non fare»</w:t>
      </w:r>
      <w:r w:rsidR="00332AF6" w:rsidRPr="005A1E8B">
        <w:rPr>
          <w:rFonts w:ascii="Garamond" w:hAnsi="Garamond"/>
          <w:b/>
          <w:bCs/>
          <w:sz w:val="25"/>
          <w:szCs w:val="24"/>
        </w:rPr>
        <w:t xml:space="preserve"> (P. Sequeri)</w:t>
      </w:r>
      <w:r w:rsidR="00332AF6" w:rsidRPr="005A1E8B">
        <w:rPr>
          <w:rStyle w:val="Rimandonotaapidipagina"/>
          <w:rFonts w:ascii="Garamond" w:hAnsi="Garamond"/>
          <w:b/>
          <w:bCs/>
          <w:sz w:val="25"/>
          <w:szCs w:val="24"/>
        </w:rPr>
        <w:footnoteReference w:id="1"/>
      </w:r>
    </w:p>
    <w:p w14:paraId="7E220FB2" w14:textId="77777777" w:rsidR="00332AF6" w:rsidRPr="00332AF6" w:rsidRDefault="00332AF6" w:rsidP="00A402BF">
      <w:pPr>
        <w:spacing w:after="0" w:line="276" w:lineRule="auto"/>
        <w:jc w:val="both"/>
        <w:rPr>
          <w:rFonts w:ascii="Garamond" w:hAnsi="Garamond"/>
          <w:sz w:val="16"/>
          <w:szCs w:val="24"/>
        </w:rPr>
      </w:pPr>
    </w:p>
    <w:p w14:paraId="38D9B173" w14:textId="77777777" w:rsidR="00332AF6" w:rsidRPr="00332AF6" w:rsidRDefault="00332AF6" w:rsidP="00A402BF">
      <w:pPr>
        <w:spacing w:after="0" w:line="276" w:lineRule="auto"/>
        <w:jc w:val="both"/>
        <w:rPr>
          <w:rFonts w:ascii="Garamond" w:hAnsi="Garamond"/>
          <w:sz w:val="16"/>
          <w:szCs w:val="24"/>
        </w:rPr>
      </w:pPr>
    </w:p>
    <w:p w14:paraId="342B546B" w14:textId="7BC111ED" w:rsidR="00332AF6" w:rsidRPr="00332AF6" w:rsidRDefault="00A402BF" w:rsidP="00332AF6">
      <w:pPr>
        <w:tabs>
          <w:tab w:val="left" w:pos="567"/>
        </w:tabs>
        <w:spacing w:after="0" w:line="240" w:lineRule="auto"/>
        <w:ind w:left="567"/>
        <w:jc w:val="both"/>
        <w:rPr>
          <w:rFonts w:ascii="Garamond" w:hAnsi="Garamond"/>
          <w:szCs w:val="24"/>
        </w:rPr>
      </w:pPr>
      <w:r w:rsidRPr="00A402BF">
        <w:rPr>
          <w:rFonts w:ascii="Garamond" w:hAnsi="Garamond"/>
          <w:szCs w:val="24"/>
        </w:rPr>
        <w:t xml:space="preserve">«Scelgo </w:t>
      </w:r>
      <w:proofErr w:type="spellStart"/>
      <w:r w:rsidRPr="00A402BF">
        <w:rPr>
          <w:rFonts w:ascii="Garamond" w:hAnsi="Garamond"/>
          <w:szCs w:val="24"/>
        </w:rPr>
        <w:t>Tamanrasset</w:t>
      </w:r>
      <w:proofErr w:type="spellEnd"/>
      <w:r w:rsidRPr="00A402BF">
        <w:rPr>
          <w:rFonts w:ascii="Garamond" w:hAnsi="Garamond"/>
          <w:szCs w:val="24"/>
        </w:rPr>
        <w:t xml:space="preserve">, villaggio di venti famiglie in piena montagna, nel cuore dell’Hoggar e del </w:t>
      </w:r>
      <w:proofErr w:type="spellStart"/>
      <w:r w:rsidRPr="00A402BF">
        <w:rPr>
          <w:rFonts w:ascii="Garamond" w:hAnsi="Garamond"/>
          <w:szCs w:val="24"/>
        </w:rPr>
        <w:t>Dag</w:t>
      </w:r>
      <w:proofErr w:type="spellEnd"/>
      <w:r w:rsidRPr="00A402BF">
        <w:rPr>
          <w:rFonts w:ascii="Garamond" w:hAnsi="Garamond"/>
          <w:szCs w:val="24"/>
        </w:rPr>
        <w:t xml:space="preserve"> </w:t>
      </w:r>
      <w:proofErr w:type="spellStart"/>
      <w:r w:rsidRPr="00A402BF">
        <w:rPr>
          <w:rFonts w:ascii="Garamond" w:hAnsi="Garamond"/>
          <w:szCs w:val="24"/>
        </w:rPr>
        <w:t>Rali</w:t>
      </w:r>
      <w:proofErr w:type="spellEnd"/>
      <w:r w:rsidRPr="00A402BF">
        <w:rPr>
          <w:rFonts w:ascii="Garamond" w:hAnsi="Garamond"/>
          <w:szCs w:val="24"/>
        </w:rPr>
        <w:t>, sua principale tribù, in disparte da tutti i centri importanti. Sembra che non debba mai esservi né guarnigione né telegrafo né europeo, e che per lungo tempo non ci sarà nessuna missione. Scelgo questo luogo abbandonato e mi ci stabilisco, supplicando Gesù di benedire questa fondazione in cui voglio, per la mia vita, prendere come unico esempio la sua vita di Nazaret»</w:t>
      </w:r>
      <w:r w:rsidR="00332AF6" w:rsidRPr="00332AF6">
        <w:rPr>
          <w:rFonts w:ascii="Garamond" w:hAnsi="Garamond"/>
          <w:szCs w:val="24"/>
        </w:rPr>
        <w:t xml:space="preserve"> (</w:t>
      </w:r>
      <w:r w:rsidR="00332AF6" w:rsidRPr="00332AF6">
        <w:rPr>
          <w:rFonts w:ascii="Garamond" w:hAnsi="Garamond"/>
          <w:i/>
          <w:iCs/>
          <w:szCs w:val="24"/>
        </w:rPr>
        <w:t>Diario</w:t>
      </w:r>
      <w:r w:rsidR="00332AF6" w:rsidRPr="00332AF6">
        <w:rPr>
          <w:rFonts w:ascii="Garamond" w:hAnsi="Garamond"/>
          <w:szCs w:val="24"/>
        </w:rPr>
        <w:t>, 11 agosto 1905)</w:t>
      </w:r>
      <w:r w:rsidRPr="00A402BF">
        <w:rPr>
          <w:rFonts w:ascii="Garamond" w:hAnsi="Garamond"/>
          <w:szCs w:val="24"/>
        </w:rPr>
        <w:t>.</w:t>
      </w:r>
      <w:r w:rsidR="00332AF6" w:rsidRPr="00332AF6">
        <w:rPr>
          <w:rFonts w:ascii="Garamond" w:hAnsi="Garamond"/>
          <w:szCs w:val="24"/>
        </w:rPr>
        <w:t xml:space="preserve"> </w:t>
      </w:r>
    </w:p>
    <w:p w14:paraId="5B9D3869" w14:textId="77777777" w:rsidR="00332AF6" w:rsidRPr="005A1E8B" w:rsidRDefault="00332AF6" w:rsidP="00A402BF">
      <w:pPr>
        <w:spacing w:after="0" w:line="276" w:lineRule="auto"/>
        <w:jc w:val="both"/>
        <w:rPr>
          <w:rFonts w:ascii="Garamond" w:hAnsi="Garamond"/>
          <w:szCs w:val="24"/>
        </w:rPr>
      </w:pPr>
    </w:p>
    <w:p w14:paraId="014052EA" w14:textId="0DF37AC9" w:rsidR="00A402BF" w:rsidRPr="00A402BF" w:rsidRDefault="005A1E8B" w:rsidP="005A1E8B">
      <w:pPr>
        <w:tabs>
          <w:tab w:val="left" w:pos="567"/>
        </w:tabs>
        <w:spacing w:after="0" w:line="276" w:lineRule="auto"/>
        <w:jc w:val="both"/>
        <w:rPr>
          <w:rFonts w:ascii="Garamond" w:hAnsi="Garamond"/>
          <w:sz w:val="24"/>
          <w:szCs w:val="24"/>
        </w:rPr>
      </w:pPr>
      <w:r>
        <w:rPr>
          <w:rFonts w:ascii="Garamond" w:hAnsi="Garamond"/>
          <w:sz w:val="24"/>
          <w:szCs w:val="24"/>
        </w:rPr>
        <w:tab/>
      </w:r>
      <w:r w:rsidR="00A402BF" w:rsidRPr="00A402BF">
        <w:rPr>
          <w:rFonts w:ascii="Garamond" w:hAnsi="Garamond"/>
          <w:sz w:val="24"/>
          <w:szCs w:val="24"/>
        </w:rPr>
        <w:t>Un misterioso legame con il deserto scandisce tutte le fasi dell’inquieta ricerca di Charles de Foucauld: la vita militare, la vita di esploratore, la vita della ricerca religiosa, la vita del ministero del </w:t>
      </w:r>
      <w:r w:rsidR="00A402BF" w:rsidRPr="00A402BF">
        <w:rPr>
          <w:rFonts w:ascii="Garamond" w:hAnsi="Garamond"/>
          <w:i/>
          <w:iCs/>
          <w:sz w:val="24"/>
          <w:szCs w:val="24"/>
        </w:rPr>
        <w:t xml:space="preserve">Deus </w:t>
      </w:r>
      <w:proofErr w:type="spellStart"/>
      <w:r w:rsidR="00A402BF" w:rsidRPr="00A402BF">
        <w:rPr>
          <w:rFonts w:ascii="Garamond" w:hAnsi="Garamond"/>
          <w:i/>
          <w:iCs/>
          <w:sz w:val="24"/>
          <w:szCs w:val="24"/>
        </w:rPr>
        <w:t>absconditus</w:t>
      </w:r>
      <w:proofErr w:type="spellEnd"/>
      <w:r w:rsidR="00A402BF" w:rsidRPr="00A402BF">
        <w:rPr>
          <w:rFonts w:ascii="Garamond" w:hAnsi="Garamond"/>
          <w:sz w:val="24"/>
          <w:szCs w:val="24"/>
        </w:rPr>
        <w:t> nel contesto domestico degli uomini ai margini della civiltà, secondo la forma di Nazaret.</w:t>
      </w:r>
    </w:p>
    <w:p w14:paraId="1BB97E4D" w14:textId="0E8E9128" w:rsidR="00A402BF" w:rsidRPr="00A402BF" w:rsidRDefault="005A1E8B" w:rsidP="005A1E8B">
      <w:pPr>
        <w:tabs>
          <w:tab w:val="left" w:pos="567"/>
        </w:tabs>
        <w:spacing w:after="0" w:line="276" w:lineRule="auto"/>
        <w:jc w:val="both"/>
        <w:rPr>
          <w:rFonts w:ascii="Garamond" w:hAnsi="Garamond"/>
          <w:sz w:val="24"/>
          <w:szCs w:val="24"/>
        </w:rPr>
      </w:pPr>
      <w:r>
        <w:rPr>
          <w:rFonts w:ascii="Garamond" w:hAnsi="Garamond"/>
          <w:sz w:val="24"/>
          <w:szCs w:val="24"/>
        </w:rPr>
        <w:tab/>
      </w:r>
      <w:r w:rsidR="00A402BF" w:rsidRPr="00A402BF">
        <w:rPr>
          <w:rFonts w:ascii="Garamond" w:hAnsi="Garamond"/>
          <w:sz w:val="24"/>
          <w:szCs w:val="24"/>
        </w:rPr>
        <w:t>Il deserto è spoliazione. Ma conduce alla scoperta dell’essenziale: e qui l’essenziale è sempre ritrovato come sollecitudine per l’umanità dell’altro uomo. Lo diventa per l’ufficiale, giudicato intelligente e neghittoso dai superiori, che si rivela guida affidabile e sicura per i suoi sottoposti. Così come diventa attenzione commossa per la dignità delle culture e la marginalità del vivere delle popolazioni che l’esploratore de Foucauld frequenta nel suo lungo viaggio di scoperta. Assume infine il valore di un vero e proprio simbolo di ciò che dev</w:t>
      </w:r>
      <w:r>
        <w:rPr>
          <w:rFonts w:ascii="Garamond" w:hAnsi="Garamond"/>
          <w:sz w:val="24"/>
          <w:szCs w:val="24"/>
        </w:rPr>
        <w:t>’</w:t>
      </w:r>
      <w:r w:rsidR="00A402BF" w:rsidRPr="00A402BF">
        <w:rPr>
          <w:rFonts w:ascii="Garamond" w:hAnsi="Garamond"/>
          <w:sz w:val="24"/>
          <w:szCs w:val="24"/>
        </w:rPr>
        <w:t>essere indossato come una nuova pelle, assimilato come una seconda natura, a motivo dell’Evangelo.</w:t>
      </w:r>
    </w:p>
    <w:p w14:paraId="75CDF5DF" w14:textId="77777777" w:rsidR="005A1E8B" w:rsidRDefault="005A1E8B" w:rsidP="005A1E8B">
      <w:pPr>
        <w:tabs>
          <w:tab w:val="left" w:pos="567"/>
        </w:tabs>
        <w:spacing w:after="0" w:line="276" w:lineRule="auto"/>
        <w:jc w:val="both"/>
        <w:rPr>
          <w:rFonts w:ascii="Garamond" w:hAnsi="Garamond"/>
          <w:sz w:val="24"/>
          <w:szCs w:val="24"/>
        </w:rPr>
      </w:pPr>
      <w:r>
        <w:rPr>
          <w:rFonts w:ascii="Garamond" w:hAnsi="Garamond"/>
          <w:sz w:val="24"/>
          <w:szCs w:val="24"/>
        </w:rPr>
        <w:tab/>
      </w:r>
      <w:r w:rsidR="00A402BF" w:rsidRPr="00A402BF">
        <w:rPr>
          <w:rFonts w:ascii="Garamond" w:hAnsi="Garamond"/>
          <w:sz w:val="24"/>
          <w:szCs w:val="24"/>
        </w:rPr>
        <w:t xml:space="preserve">Il deserto è distanza, ma non è vuoto, solitudine fine a </w:t>
      </w:r>
      <w:proofErr w:type="gramStart"/>
      <w:r w:rsidR="00A402BF" w:rsidRPr="00A402BF">
        <w:rPr>
          <w:rFonts w:ascii="Garamond" w:hAnsi="Garamond"/>
          <w:sz w:val="24"/>
          <w:szCs w:val="24"/>
        </w:rPr>
        <w:t>se</w:t>
      </w:r>
      <w:proofErr w:type="gramEnd"/>
      <w:r w:rsidR="00A402BF" w:rsidRPr="00A402BF">
        <w:rPr>
          <w:rFonts w:ascii="Garamond" w:hAnsi="Garamond"/>
          <w:sz w:val="24"/>
          <w:szCs w:val="24"/>
        </w:rPr>
        <w:t xml:space="preserve"> stessa, abbandono dell’umano per una migliore ricerca di sé. La vocazione alla condizione monastica, la cura della povertà radicale, l’inquietudine che spinge alla ricerca dell’ultimo posto assumono in fratel Carlo il linguaggio tradizionale dell’ascesi. Ma prendono distanza, nel fulcro delle loro motivazioni e della loro pratica, dall’ideale astratto di una perfezione che si risolve nella privazione.</w:t>
      </w:r>
      <w:r>
        <w:rPr>
          <w:rFonts w:ascii="Garamond" w:hAnsi="Garamond"/>
          <w:sz w:val="24"/>
          <w:szCs w:val="24"/>
        </w:rPr>
        <w:t xml:space="preserve"> </w:t>
      </w:r>
      <w:r w:rsidR="00A402BF" w:rsidRPr="00A402BF">
        <w:rPr>
          <w:rFonts w:ascii="Garamond" w:hAnsi="Garamond"/>
          <w:sz w:val="24"/>
          <w:szCs w:val="24"/>
        </w:rPr>
        <w:t xml:space="preserve">Il fatto essenziale, per de Foucauld, è che non c’è nessuna solitudine, nessuna povertà, nessuno svuotamento dell’umano che non siano già sempre abitati da umani. </w:t>
      </w:r>
    </w:p>
    <w:p w14:paraId="67F6B53E" w14:textId="77777777" w:rsidR="005A1E8B" w:rsidRDefault="005A1E8B" w:rsidP="005A1E8B">
      <w:pPr>
        <w:tabs>
          <w:tab w:val="left" w:pos="567"/>
        </w:tabs>
        <w:spacing w:after="0" w:line="276" w:lineRule="auto"/>
        <w:jc w:val="both"/>
        <w:rPr>
          <w:rFonts w:ascii="Garamond" w:hAnsi="Garamond"/>
          <w:sz w:val="24"/>
          <w:szCs w:val="24"/>
        </w:rPr>
      </w:pPr>
      <w:r>
        <w:rPr>
          <w:rFonts w:ascii="Garamond" w:hAnsi="Garamond"/>
          <w:sz w:val="24"/>
          <w:szCs w:val="24"/>
        </w:rPr>
        <w:tab/>
      </w:r>
      <w:r w:rsidR="00A402BF" w:rsidRPr="00A402BF">
        <w:rPr>
          <w:rFonts w:ascii="Garamond" w:hAnsi="Garamond"/>
          <w:sz w:val="24"/>
          <w:szCs w:val="24"/>
        </w:rPr>
        <w:t>L’elemento catalizzatore di questa trasformazione è lo spirito evangelico dell’immedesimazione con il popolo del deserto, che fa lucidamente percepire a de Foucauld, al di là delle formule, la necessità di una nuova evangelizzazione, che tenga conto precisamente di quelli che oggi abbiamo imparato a chiamare problemi di inculturazione della fede</w:t>
      </w:r>
      <w:r>
        <w:rPr>
          <w:rFonts w:ascii="Garamond" w:hAnsi="Garamond"/>
          <w:sz w:val="24"/>
          <w:szCs w:val="24"/>
        </w:rPr>
        <w:t xml:space="preserve">. </w:t>
      </w:r>
    </w:p>
    <w:p w14:paraId="51A77469" w14:textId="0A011E5E" w:rsidR="00A402BF" w:rsidRPr="00A402BF" w:rsidRDefault="00A402BF" w:rsidP="005A1E8B">
      <w:pPr>
        <w:tabs>
          <w:tab w:val="left" w:pos="567"/>
        </w:tabs>
        <w:spacing w:after="0" w:line="276" w:lineRule="auto"/>
        <w:jc w:val="both"/>
        <w:rPr>
          <w:rFonts w:ascii="Garamond" w:hAnsi="Garamond"/>
          <w:sz w:val="24"/>
          <w:szCs w:val="24"/>
        </w:rPr>
      </w:pPr>
      <w:r w:rsidRPr="00A402BF">
        <w:rPr>
          <w:rFonts w:ascii="Garamond" w:hAnsi="Garamond"/>
          <w:sz w:val="24"/>
          <w:szCs w:val="24"/>
        </w:rPr>
        <w:t>Da un lato si tratta di riconoscere umilmente la differenza culturale del nostro cristianesimo occidentale, senza trascriverla immediatamente in una distanza dell’altro dalla relazione teologale con Dio. Vigilanza tanto più necessaria a motivo della storica commistione fra gesto evangelizzatore e gesto colonizzatore.</w:t>
      </w:r>
    </w:p>
    <w:p w14:paraId="2029BC62" w14:textId="7B77C404" w:rsidR="00A402BF" w:rsidRPr="00A402BF" w:rsidRDefault="00A402BF" w:rsidP="00A402BF">
      <w:pPr>
        <w:spacing w:after="0" w:line="276" w:lineRule="auto"/>
        <w:jc w:val="both"/>
        <w:rPr>
          <w:rFonts w:ascii="Garamond" w:hAnsi="Garamond"/>
          <w:sz w:val="24"/>
          <w:szCs w:val="24"/>
        </w:rPr>
      </w:pPr>
      <w:r w:rsidRPr="00A402BF">
        <w:rPr>
          <w:rFonts w:ascii="Garamond" w:hAnsi="Garamond"/>
          <w:sz w:val="24"/>
          <w:szCs w:val="24"/>
        </w:rPr>
        <w:t>Dall’altro, si tratta di considerare la consuetudine affettuosa dei modi di vita e la rigorosa conoscenza delle forme culturali (comprese quelle religiose) come parte integrante della missione evangelica in quanto tale</w:t>
      </w:r>
      <w:r w:rsidR="005A1E8B">
        <w:rPr>
          <w:rFonts w:ascii="Garamond" w:hAnsi="Garamond"/>
          <w:sz w:val="24"/>
          <w:szCs w:val="24"/>
        </w:rPr>
        <w:t>:</w:t>
      </w:r>
      <w:r w:rsidRPr="00A402BF">
        <w:rPr>
          <w:rFonts w:ascii="Garamond" w:hAnsi="Garamond"/>
          <w:sz w:val="24"/>
          <w:szCs w:val="24"/>
        </w:rPr>
        <w:t> «Il mio tempo è diviso tra la preghiera, le relazioni con gli indigeni e i lavori di lingua tuareg; do molto spazio a questi ultimi, innanzitutto per terminarli presto ed essere del tutto disponibile al resto, ma anche perché mi sono necessari. Non posso fare del bene ai Tuareg se non parlando con loro e conoscendo la loro lingua».</w:t>
      </w:r>
    </w:p>
    <w:p w14:paraId="0EE7D37D" w14:textId="77777777" w:rsidR="005A1E8B" w:rsidRDefault="005A1E8B" w:rsidP="00A402BF">
      <w:pPr>
        <w:spacing w:after="0" w:line="276" w:lineRule="auto"/>
        <w:jc w:val="both"/>
        <w:rPr>
          <w:rFonts w:ascii="Garamond" w:hAnsi="Garamond"/>
          <w:sz w:val="24"/>
          <w:szCs w:val="24"/>
        </w:rPr>
      </w:pPr>
    </w:p>
    <w:p w14:paraId="67E77511" w14:textId="77777777" w:rsidR="005A1E8B" w:rsidRDefault="005A1E8B" w:rsidP="00A402BF">
      <w:pPr>
        <w:spacing w:after="0" w:line="276" w:lineRule="auto"/>
        <w:jc w:val="both"/>
        <w:rPr>
          <w:rFonts w:ascii="Garamond" w:hAnsi="Garamond"/>
          <w:sz w:val="24"/>
          <w:szCs w:val="24"/>
        </w:rPr>
      </w:pPr>
    </w:p>
    <w:p w14:paraId="52213156" w14:textId="77777777" w:rsidR="005A1E8B" w:rsidRDefault="00A402BF" w:rsidP="00A402BF">
      <w:pPr>
        <w:spacing w:after="0" w:line="276" w:lineRule="auto"/>
        <w:jc w:val="both"/>
        <w:rPr>
          <w:rFonts w:ascii="Garamond" w:hAnsi="Garamond"/>
          <w:sz w:val="24"/>
          <w:szCs w:val="24"/>
        </w:rPr>
      </w:pPr>
      <w:r w:rsidRPr="00A402BF">
        <w:rPr>
          <w:rFonts w:ascii="Garamond" w:hAnsi="Garamond"/>
          <w:sz w:val="24"/>
          <w:szCs w:val="24"/>
        </w:rPr>
        <w:t>In questo duplice solco della sua evoluzione, fratel Carlo matura l’ultima grande svolta della sua mistica, a partire dal 1907, che fa intravedere nettamente le potenzialità teologiche e spirituali della profezia che egli incarna per la Chiesa del nostro tempo.</w:t>
      </w:r>
      <w:r w:rsidR="005A1E8B">
        <w:rPr>
          <w:rFonts w:ascii="Garamond" w:hAnsi="Garamond"/>
          <w:sz w:val="24"/>
          <w:szCs w:val="24"/>
        </w:rPr>
        <w:t xml:space="preserve"> </w:t>
      </w:r>
    </w:p>
    <w:p w14:paraId="505848F3" w14:textId="77777777" w:rsidR="005A1E8B" w:rsidRPr="005A1E8B" w:rsidRDefault="005A1E8B" w:rsidP="00A402BF">
      <w:pPr>
        <w:spacing w:after="0" w:line="276" w:lineRule="auto"/>
        <w:jc w:val="both"/>
        <w:rPr>
          <w:rFonts w:ascii="Garamond" w:hAnsi="Garamond"/>
          <w:sz w:val="10"/>
          <w:szCs w:val="24"/>
        </w:rPr>
      </w:pPr>
    </w:p>
    <w:p w14:paraId="5DD7551C" w14:textId="00E9C19C" w:rsidR="00A402BF" w:rsidRPr="00A402BF" w:rsidRDefault="005A1E8B" w:rsidP="005A1E8B">
      <w:pPr>
        <w:tabs>
          <w:tab w:val="left" w:pos="567"/>
        </w:tabs>
        <w:spacing w:after="0" w:line="276" w:lineRule="auto"/>
        <w:jc w:val="both"/>
        <w:rPr>
          <w:rFonts w:ascii="Garamond" w:hAnsi="Garamond"/>
          <w:sz w:val="24"/>
          <w:szCs w:val="24"/>
        </w:rPr>
      </w:pPr>
      <w:r>
        <w:rPr>
          <w:rFonts w:ascii="Garamond" w:hAnsi="Garamond"/>
          <w:sz w:val="24"/>
          <w:szCs w:val="24"/>
        </w:rPr>
        <w:tab/>
      </w:r>
      <w:r w:rsidR="00A402BF" w:rsidRPr="00A402BF">
        <w:rPr>
          <w:rFonts w:ascii="Garamond" w:hAnsi="Garamond"/>
          <w:sz w:val="24"/>
          <w:szCs w:val="24"/>
        </w:rPr>
        <w:t>L’immagine evocata da fratel Carlo, che si immagina come sacerdote dove non se ne sono visti, per spezzare il pane e invitare al banchetto invitati improbabili rispetto ai soliti noti, è particolarmente commovente da leggere oggi.</w:t>
      </w:r>
      <w:r>
        <w:rPr>
          <w:rFonts w:ascii="Garamond" w:hAnsi="Garamond"/>
          <w:sz w:val="24"/>
          <w:szCs w:val="24"/>
        </w:rPr>
        <w:t xml:space="preserve"> </w:t>
      </w:r>
      <w:r w:rsidR="00A402BF" w:rsidRPr="00A402BF">
        <w:rPr>
          <w:rFonts w:ascii="Garamond" w:hAnsi="Garamond"/>
          <w:sz w:val="24"/>
          <w:szCs w:val="24"/>
        </w:rPr>
        <w:t>Da qualche tempo ci siamo così abituati all’idea del sacerdote come guida e animatore di una Chiesa-comunità già formata, con tutti i suoi ministeri sussidiari, i suoi laici impegnati, le sue iniziative caritative e culturali, che quasi abbiamo rischiato di dimenticarci che dove un cristiano si trova a vivere la sequela e l’imitazione del Signore, la Chiesa è già arrivata.</w:t>
      </w:r>
      <w:r>
        <w:rPr>
          <w:rFonts w:ascii="Garamond" w:hAnsi="Garamond"/>
          <w:sz w:val="24"/>
          <w:szCs w:val="24"/>
        </w:rPr>
        <w:t xml:space="preserve"> </w:t>
      </w:r>
      <w:r w:rsidR="00A402BF" w:rsidRPr="00A402BF">
        <w:rPr>
          <w:rFonts w:ascii="Garamond" w:hAnsi="Garamond"/>
          <w:sz w:val="24"/>
          <w:szCs w:val="24"/>
        </w:rPr>
        <w:t>Un sacerdote, un religioso, un cristiano, non sono mai senza Chiesa. Al contrario, i luoghi dell’umano che rimangono senza Chiesa sono sempre molti. Non basta che la Chiesa viva la sua vita, nei luoghi in cui abita l’uomo. Né è sufficiente che essa viva la vita di coloro che la abitano già. È necessario che essa mostri di saper vivere la vita di coloro che abitano ai confini della sua: anzi, che essa viva proprio la vita di coloro che non la abitano per nulla. E forse non arriveranno ad abitarla, su questa terra, con la comprensione e la libertà che sono necessarie affinché siano onorate insieme – secondo la limpida intenzione di Dio, significata da Gesù – la qualità del discepolo e la dignità dell’ospite.</w:t>
      </w:r>
    </w:p>
    <w:p w14:paraId="1E75B619" w14:textId="77777777" w:rsidR="005A1E8B" w:rsidRPr="005A1E8B" w:rsidRDefault="005A1E8B" w:rsidP="00A402BF">
      <w:pPr>
        <w:spacing w:after="0" w:line="276" w:lineRule="auto"/>
        <w:jc w:val="both"/>
        <w:rPr>
          <w:rFonts w:ascii="Garamond" w:hAnsi="Garamond"/>
          <w:sz w:val="10"/>
          <w:szCs w:val="24"/>
        </w:rPr>
      </w:pPr>
    </w:p>
    <w:p w14:paraId="2022730E" w14:textId="0C2BD637" w:rsidR="00746274" w:rsidRDefault="005A1E8B" w:rsidP="002F39BE">
      <w:pPr>
        <w:tabs>
          <w:tab w:val="left" w:pos="567"/>
        </w:tabs>
        <w:spacing w:after="0" w:line="276" w:lineRule="auto"/>
        <w:jc w:val="both"/>
        <w:rPr>
          <w:rFonts w:ascii="Garamond" w:hAnsi="Garamond"/>
          <w:sz w:val="24"/>
          <w:szCs w:val="24"/>
        </w:rPr>
      </w:pPr>
      <w:r>
        <w:rPr>
          <w:rFonts w:ascii="Garamond" w:hAnsi="Garamond"/>
          <w:sz w:val="24"/>
          <w:szCs w:val="24"/>
        </w:rPr>
        <w:tab/>
      </w:r>
      <w:r w:rsidR="00A402BF" w:rsidRPr="00A402BF">
        <w:rPr>
          <w:rFonts w:ascii="Garamond" w:hAnsi="Garamond"/>
          <w:sz w:val="24"/>
          <w:szCs w:val="24"/>
        </w:rPr>
        <w:t>Non è questione di scelta. Il fatto è che dove la divina proporzione dell’incarnazione e della missione non è mantenuta nel suo essenziale rapporto, ne va della qualità di entrambe. E corrispondentemente, della qualità del discepolato come dell’ospitalità, dell’annuncio come della testimonianza, del ministero sacerdotale come dell’identità religiosa.</w:t>
      </w:r>
      <w:r>
        <w:rPr>
          <w:rFonts w:ascii="Garamond" w:hAnsi="Garamond"/>
          <w:sz w:val="24"/>
          <w:szCs w:val="24"/>
        </w:rPr>
        <w:t xml:space="preserve"> </w:t>
      </w:r>
      <w:r w:rsidR="00A402BF" w:rsidRPr="00A402BF">
        <w:rPr>
          <w:rFonts w:ascii="Garamond" w:hAnsi="Garamond"/>
          <w:sz w:val="24"/>
          <w:szCs w:val="24"/>
        </w:rPr>
        <w:t>Dove si tratta di stabilire – o ristabilire – questa proporzione, l’alternativa in termini di specificità del ministero ordinato o di tutela della dignità della consacrazione religiosa non si pone proprio. Charles de Foucauld raggiunge, di fatto, nella sua inedita maturazione della cristologia di Nazaret, un’effettiva radicalizzazione dei due momenti.</w:t>
      </w:r>
    </w:p>
    <w:p w14:paraId="360FB274" w14:textId="77777777" w:rsidR="00EE68E3" w:rsidRDefault="00EE68E3" w:rsidP="002F39BE">
      <w:pPr>
        <w:spacing w:after="0" w:line="276" w:lineRule="auto"/>
        <w:rPr>
          <w:rFonts w:ascii="Garamond" w:hAnsi="Garamond" w:cs="Times New Roman"/>
          <w:sz w:val="24"/>
          <w:szCs w:val="24"/>
        </w:rPr>
      </w:pPr>
    </w:p>
    <w:p w14:paraId="06FEDC3A" w14:textId="77777777" w:rsidR="003A2E30" w:rsidRDefault="003A2E30" w:rsidP="003A2E30">
      <w:pPr>
        <w:tabs>
          <w:tab w:val="left" w:pos="567"/>
        </w:tabs>
        <w:spacing w:after="0" w:line="276" w:lineRule="auto"/>
        <w:jc w:val="both"/>
        <w:rPr>
          <w:rFonts w:ascii="Garamond" w:hAnsi="Garamond" w:cs="Times New Roman"/>
          <w:sz w:val="24"/>
          <w:szCs w:val="24"/>
        </w:rPr>
      </w:pPr>
      <w:r>
        <w:rPr>
          <w:rFonts w:ascii="Garamond" w:hAnsi="Garamond" w:cs="Times New Roman"/>
          <w:sz w:val="24"/>
          <w:szCs w:val="24"/>
        </w:rPr>
        <w:tab/>
      </w:r>
    </w:p>
    <w:p w14:paraId="6771519C" w14:textId="77777777" w:rsidR="003A2E30" w:rsidRDefault="003A2E30" w:rsidP="003A2E30">
      <w:pPr>
        <w:tabs>
          <w:tab w:val="left" w:pos="567"/>
        </w:tabs>
        <w:spacing w:after="0" w:line="276" w:lineRule="auto"/>
        <w:jc w:val="both"/>
        <w:rPr>
          <w:rFonts w:ascii="Garamond" w:hAnsi="Garamond" w:cs="Times New Roman"/>
          <w:sz w:val="24"/>
          <w:szCs w:val="24"/>
        </w:rPr>
      </w:pPr>
    </w:p>
    <w:p w14:paraId="2A8AFD28" w14:textId="77777777" w:rsidR="003A2E30" w:rsidRDefault="003A2E30" w:rsidP="003A2E30">
      <w:pPr>
        <w:tabs>
          <w:tab w:val="left" w:pos="567"/>
        </w:tabs>
        <w:spacing w:after="0" w:line="276" w:lineRule="auto"/>
        <w:jc w:val="both"/>
        <w:rPr>
          <w:rFonts w:ascii="Garamond" w:hAnsi="Garamond" w:cs="Times New Roman"/>
          <w:sz w:val="24"/>
          <w:szCs w:val="24"/>
        </w:rPr>
      </w:pPr>
    </w:p>
    <w:p w14:paraId="58B1CDE0" w14:textId="3AC9A5E6" w:rsidR="00232CFA" w:rsidRPr="003A2E30" w:rsidRDefault="003A2E30" w:rsidP="003A2E30">
      <w:pPr>
        <w:tabs>
          <w:tab w:val="left" w:pos="567"/>
        </w:tabs>
        <w:spacing w:after="0" w:line="276" w:lineRule="auto"/>
        <w:jc w:val="both"/>
        <w:rPr>
          <w:rFonts w:ascii="Garamond" w:hAnsi="Garamond" w:cs="Times New Roman"/>
          <w:sz w:val="23"/>
          <w:szCs w:val="23"/>
        </w:rPr>
      </w:pPr>
      <w:r>
        <w:rPr>
          <w:rFonts w:ascii="Garamond" w:hAnsi="Garamond" w:cs="Times New Roman"/>
          <w:sz w:val="24"/>
          <w:szCs w:val="24"/>
        </w:rPr>
        <w:tab/>
      </w:r>
      <w:r w:rsidR="00853D6E" w:rsidRPr="003A2E30">
        <w:rPr>
          <w:rFonts w:ascii="Garamond" w:hAnsi="Garamond" w:cs="Times New Roman"/>
          <w:sz w:val="23"/>
          <w:szCs w:val="23"/>
        </w:rPr>
        <w:t xml:space="preserve">L’articolo divulga riflessioni più ampie, </w:t>
      </w:r>
      <w:r w:rsidR="002F39BE" w:rsidRPr="003A2E30">
        <w:rPr>
          <w:rFonts w:ascii="Garamond" w:hAnsi="Garamond" w:cs="Times New Roman"/>
          <w:sz w:val="23"/>
          <w:szCs w:val="23"/>
        </w:rPr>
        <w:t xml:space="preserve">sviluppate a partire dagli anni Novanta e ora disponibili in </w:t>
      </w:r>
      <w:r w:rsidR="00EE68E3" w:rsidRPr="003A2E30">
        <w:rPr>
          <w:rFonts w:ascii="Garamond" w:hAnsi="Garamond" w:cs="Times New Roman"/>
          <w:i/>
          <w:sz w:val="23"/>
          <w:szCs w:val="23"/>
        </w:rPr>
        <w:t>Charles de Foucauld. Il vangelo viene da Nazaret</w:t>
      </w:r>
      <w:r w:rsidR="00EE68E3" w:rsidRPr="003A2E30">
        <w:rPr>
          <w:rFonts w:ascii="Garamond" w:hAnsi="Garamond" w:cs="Times New Roman"/>
          <w:sz w:val="23"/>
          <w:szCs w:val="23"/>
        </w:rPr>
        <w:t xml:space="preserve">. </w:t>
      </w:r>
      <w:r w:rsidR="00EE68E3" w:rsidRPr="003A2E30">
        <w:rPr>
          <w:rFonts w:ascii="Garamond" w:hAnsi="Garamond" w:cs="Times New Roman"/>
          <w:i/>
          <w:iCs/>
          <w:sz w:val="23"/>
          <w:szCs w:val="23"/>
        </w:rPr>
        <w:t>Nuova edizione riveduta e aumentata</w:t>
      </w:r>
      <w:r w:rsidR="00EE68E3" w:rsidRPr="003A2E30">
        <w:rPr>
          <w:rFonts w:ascii="Garamond" w:hAnsi="Garamond" w:cs="Times New Roman"/>
          <w:sz w:val="23"/>
          <w:szCs w:val="23"/>
        </w:rPr>
        <w:t xml:space="preserve">, </w:t>
      </w:r>
      <w:r w:rsidR="002F39BE" w:rsidRPr="003A2E30">
        <w:rPr>
          <w:rFonts w:ascii="Garamond" w:hAnsi="Garamond" w:cs="Times New Roman"/>
          <w:sz w:val="23"/>
          <w:szCs w:val="23"/>
        </w:rPr>
        <w:t>Vita e Pensiero,</w:t>
      </w:r>
      <w:r w:rsidR="00EE68E3" w:rsidRPr="003A2E30">
        <w:rPr>
          <w:rFonts w:ascii="Garamond" w:hAnsi="Garamond" w:cs="Times New Roman"/>
          <w:sz w:val="23"/>
          <w:szCs w:val="23"/>
        </w:rPr>
        <w:t xml:space="preserve"> M</w:t>
      </w:r>
      <w:r w:rsidR="002F39BE" w:rsidRPr="003A2E30">
        <w:rPr>
          <w:rFonts w:ascii="Garamond" w:hAnsi="Garamond" w:cs="Times New Roman"/>
          <w:sz w:val="23"/>
          <w:szCs w:val="23"/>
        </w:rPr>
        <w:t xml:space="preserve">ilano </w:t>
      </w:r>
      <w:r w:rsidR="00EE68E3" w:rsidRPr="003A2E30">
        <w:rPr>
          <w:rFonts w:ascii="Garamond" w:hAnsi="Garamond" w:cs="Times New Roman"/>
          <w:sz w:val="23"/>
          <w:szCs w:val="23"/>
        </w:rPr>
        <w:t>2022</w:t>
      </w:r>
      <w:r w:rsidR="002F39BE" w:rsidRPr="003A2E30">
        <w:rPr>
          <w:rFonts w:ascii="Garamond" w:hAnsi="Garamond" w:cs="Times New Roman"/>
          <w:sz w:val="23"/>
          <w:szCs w:val="23"/>
        </w:rPr>
        <w:t>. Segnalo il primo in ordine di tempo (</w:t>
      </w:r>
      <w:r w:rsidR="002F39BE" w:rsidRPr="003A2E30">
        <w:rPr>
          <w:rFonts w:ascii="Garamond" w:hAnsi="Garamond" w:cs="Times New Roman"/>
          <w:i/>
          <w:sz w:val="23"/>
          <w:szCs w:val="23"/>
        </w:rPr>
        <w:t>Ripartire da Nazareth?</w:t>
      </w:r>
      <w:r w:rsidR="002F39BE" w:rsidRPr="003A2E30">
        <w:rPr>
          <w:rFonts w:ascii="Garamond" w:hAnsi="Garamond" w:cs="Times New Roman"/>
          <w:iCs/>
          <w:sz w:val="23"/>
          <w:szCs w:val="23"/>
        </w:rPr>
        <w:t>)</w:t>
      </w:r>
      <w:r w:rsidR="002F39BE" w:rsidRPr="003A2E30">
        <w:rPr>
          <w:rStyle w:val="Rimandonotaapidipagina"/>
          <w:rFonts w:ascii="Garamond" w:hAnsi="Garamond" w:cs="Times New Roman"/>
          <w:iCs/>
          <w:sz w:val="23"/>
          <w:szCs w:val="23"/>
        </w:rPr>
        <w:footnoteReference w:id="2"/>
      </w:r>
      <w:r w:rsidR="002F39BE" w:rsidRPr="003A2E30">
        <w:rPr>
          <w:rFonts w:ascii="Garamond" w:hAnsi="Garamond" w:cs="Times New Roman"/>
          <w:iCs/>
          <w:sz w:val="23"/>
          <w:szCs w:val="23"/>
        </w:rPr>
        <w:t>, nel quale Sequeri mette in gioco la nozione di “fede testimoniale” argomentata nella sua teologia fondamentale</w:t>
      </w:r>
      <w:r w:rsidR="002F39BE" w:rsidRPr="003A2E30">
        <w:rPr>
          <w:rStyle w:val="Rimandonotaapidipagina"/>
          <w:rFonts w:ascii="Garamond" w:hAnsi="Garamond" w:cs="Times New Roman"/>
          <w:iCs/>
          <w:sz w:val="23"/>
          <w:szCs w:val="23"/>
        </w:rPr>
        <w:footnoteReference w:id="3"/>
      </w:r>
      <w:r w:rsidR="002F39BE" w:rsidRPr="003A2E30">
        <w:rPr>
          <w:rFonts w:ascii="Garamond" w:hAnsi="Garamond" w:cs="Times New Roman"/>
          <w:iCs/>
          <w:sz w:val="23"/>
          <w:szCs w:val="23"/>
        </w:rPr>
        <w:t>.</w:t>
      </w:r>
      <w:r w:rsidRPr="003A2E30">
        <w:rPr>
          <w:rFonts w:ascii="Garamond" w:hAnsi="Garamond" w:cs="Times New Roman"/>
          <w:iCs/>
          <w:sz w:val="23"/>
          <w:szCs w:val="23"/>
        </w:rPr>
        <w:t xml:space="preserve"> Sono reperibili anche altre comunicazioni: </w:t>
      </w:r>
      <w:r w:rsidR="00EE68E3" w:rsidRPr="003A2E30">
        <w:rPr>
          <w:rFonts w:ascii="Garamond" w:hAnsi="Garamond" w:cs="Times New Roman"/>
          <w:i/>
          <w:iCs/>
          <w:sz w:val="23"/>
          <w:szCs w:val="23"/>
        </w:rPr>
        <w:t>La dimensione contemplativa della fede di C</w:t>
      </w:r>
      <w:r w:rsidRPr="003A2E30">
        <w:rPr>
          <w:rFonts w:ascii="Garamond" w:hAnsi="Garamond" w:cs="Times New Roman"/>
          <w:i/>
          <w:iCs/>
          <w:sz w:val="23"/>
          <w:szCs w:val="23"/>
        </w:rPr>
        <w:t>harles de Foucauld</w:t>
      </w:r>
      <w:r w:rsidRPr="003A2E30">
        <w:rPr>
          <w:rFonts w:ascii="Garamond" w:hAnsi="Garamond" w:cs="Times New Roman"/>
          <w:sz w:val="23"/>
          <w:szCs w:val="23"/>
        </w:rPr>
        <w:t xml:space="preserve"> (2016); </w:t>
      </w:r>
      <w:r w:rsidR="00EE68E3" w:rsidRPr="003A2E30">
        <w:rPr>
          <w:rFonts w:ascii="Garamond" w:hAnsi="Garamond" w:cs="Times New Roman"/>
          <w:i/>
          <w:iCs/>
          <w:sz w:val="23"/>
          <w:szCs w:val="23"/>
        </w:rPr>
        <w:t>Che si veda solo Gesù</w:t>
      </w:r>
      <w:r w:rsidRPr="003A2E30">
        <w:rPr>
          <w:rFonts w:ascii="Garamond" w:hAnsi="Garamond" w:cs="Times New Roman"/>
          <w:i/>
          <w:iCs/>
          <w:sz w:val="23"/>
          <w:szCs w:val="23"/>
        </w:rPr>
        <w:t xml:space="preserve"> </w:t>
      </w:r>
      <w:r w:rsidRPr="003A2E30">
        <w:rPr>
          <w:rFonts w:ascii="Garamond" w:hAnsi="Garamond" w:cs="Times New Roman"/>
          <w:sz w:val="23"/>
          <w:szCs w:val="23"/>
        </w:rPr>
        <w:t>(2022).</w:t>
      </w:r>
      <w:r w:rsidR="00EE68E3" w:rsidRPr="003A2E30">
        <w:rPr>
          <w:rFonts w:ascii="Garamond" w:hAnsi="Garamond"/>
          <w:sz w:val="23"/>
          <w:szCs w:val="23"/>
        </w:rPr>
        <w:br w:type="page"/>
      </w:r>
    </w:p>
    <w:p w14:paraId="268B9681" w14:textId="043D469F" w:rsidR="00232CFA" w:rsidRDefault="00232CFA" w:rsidP="00232CFA">
      <w:pPr>
        <w:spacing w:after="0" w:line="276" w:lineRule="auto"/>
        <w:jc w:val="both"/>
        <w:rPr>
          <w:rFonts w:ascii="Garamond" w:hAnsi="Garamond"/>
          <w:b/>
          <w:bCs/>
          <w:sz w:val="25"/>
        </w:rPr>
      </w:pPr>
    </w:p>
    <w:p w14:paraId="22106894" w14:textId="331C89EB" w:rsidR="00232CFA" w:rsidRPr="00232CFA" w:rsidRDefault="00232CFA" w:rsidP="00232CFA">
      <w:pPr>
        <w:spacing w:after="0" w:line="276" w:lineRule="auto"/>
        <w:jc w:val="both"/>
        <w:rPr>
          <w:rFonts w:ascii="Garamond" w:hAnsi="Garamond"/>
          <w:b/>
          <w:bCs/>
          <w:sz w:val="25"/>
        </w:rPr>
      </w:pPr>
      <w:r w:rsidRPr="00232CFA">
        <w:rPr>
          <w:rFonts w:ascii="Garamond" w:hAnsi="Garamond"/>
          <w:b/>
          <w:bCs/>
          <w:sz w:val="25"/>
        </w:rPr>
        <w:t>Charles de Foucauld: un pungolo per la Chiesa (E. Bolis)</w:t>
      </w:r>
      <w:r>
        <w:rPr>
          <w:rStyle w:val="Rimandonotaapidipagina"/>
          <w:rFonts w:ascii="Garamond" w:hAnsi="Garamond"/>
          <w:b/>
          <w:bCs/>
          <w:sz w:val="25"/>
        </w:rPr>
        <w:footnoteReference w:id="4"/>
      </w:r>
      <w:r w:rsidRPr="00232CFA">
        <w:rPr>
          <w:rFonts w:ascii="Garamond" w:hAnsi="Garamond"/>
          <w:b/>
          <w:bCs/>
          <w:sz w:val="25"/>
        </w:rPr>
        <w:t xml:space="preserve"> </w:t>
      </w:r>
    </w:p>
    <w:p w14:paraId="4FBA72A5" w14:textId="04B96A3F" w:rsidR="00232CFA" w:rsidRDefault="00232CFA" w:rsidP="00232CFA">
      <w:pPr>
        <w:spacing w:after="0" w:line="276" w:lineRule="auto"/>
        <w:jc w:val="both"/>
        <w:rPr>
          <w:rFonts w:ascii="Garamond" w:hAnsi="Garamond"/>
        </w:rPr>
      </w:pPr>
    </w:p>
    <w:p w14:paraId="5C3030CC" w14:textId="5799421E" w:rsidR="00232CFA" w:rsidRDefault="00232CFA" w:rsidP="00232CFA">
      <w:pPr>
        <w:spacing w:after="0" w:line="276" w:lineRule="auto"/>
        <w:jc w:val="both"/>
        <w:rPr>
          <w:rFonts w:ascii="Garamond" w:hAnsi="Garamond"/>
        </w:rPr>
      </w:pPr>
      <w:r w:rsidRPr="00232CFA">
        <w:rPr>
          <w:rFonts w:ascii="Garamond" w:hAnsi="Garamond"/>
          <w:noProof/>
        </w:rPr>
        <w:drawing>
          <wp:anchor distT="0" distB="0" distL="114300" distR="114300" simplePos="0" relativeHeight="251658240" behindDoc="0" locked="0" layoutInCell="1" allowOverlap="1" wp14:anchorId="7CAA4546" wp14:editId="0D80838E">
            <wp:simplePos x="0" y="0"/>
            <wp:positionH relativeFrom="margin">
              <wp:align>right</wp:align>
            </wp:positionH>
            <wp:positionV relativeFrom="paragraph">
              <wp:posOffset>80645</wp:posOffset>
            </wp:positionV>
            <wp:extent cx="5132866" cy="7329755"/>
            <wp:effectExtent l="0" t="0" r="0" b="5080"/>
            <wp:wrapNone/>
            <wp:docPr id="1707683175" name="Immagine 2" descr="Immagine che contiene testo, carta, Carattere, bianco e n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83175" name="Immagine 2" descr="Immagine che contiene testo, carta, Carattere, bianco e nero&#10;&#10;Il contenuto generato dall'IA potrebbe non essere corrett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427"/>
                    <a:stretch/>
                  </pic:blipFill>
                  <pic:spPr bwMode="auto">
                    <a:xfrm>
                      <a:off x="0" y="0"/>
                      <a:ext cx="5132866" cy="732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3086FE" w14:textId="605C7FA2" w:rsidR="00232CFA" w:rsidRPr="00232CFA" w:rsidRDefault="00232CFA" w:rsidP="00232CFA">
      <w:pPr>
        <w:spacing w:after="0" w:line="276" w:lineRule="auto"/>
        <w:jc w:val="both"/>
        <w:rPr>
          <w:rFonts w:ascii="Garamond" w:hAnsi="Garamond"/>
        </w:rPr>
      </w:pPr>
    </w:p>
    <w:p w14:paraId="18139E39" w14:textId="342FCFDD" w:rsidR="00232CFA" w:rsidRDefault="00232CFA" w:rsidP="00232CFA">
      <w:pPr>
        <w:spacing w:after="0" w:line="276" w:lineRule="auto"/>
        <w:jc w:val="both"/>
        <w:rPr>
          <w:rFonts w:ascii="Garamond" w:hAnsi="Garamond"/>
        </w:rPr>
      </w:pPr>
    </w:p>
    <w:p w14:paraId="1AAE41CD" w14:textId="77777777" w:rsidR="00232CFA" w:rsidRDefault="00232CFA" w:rsidP="00232CFA">
      <w:pPr>
        <w:spacing w:after="0" w:line="276" w:lineRule="auto"/>
        <w:jc w:val="both"/>
        <w:rPr>
          <w:rFonts w:ascii="Garamond" w:hAnsi="Garamond"/>
        </w:rPr>
      </w:pPr>
    </w:p>
    <w:p w14:paraId="46A2C44E" w14:textId="77777777" w:rsidR="00232CFA" w:rsidRDefault="00232CFA" w:rsidP="00232CFA">
      <w:pPr>
        <w:spacing w:after="0" w:line="276" w:lineRule="auto"/>
        <w:jc w:val="both"/>
        <w:rPr>
          <w:rFonts w:ascii="Garamond" w:hAnsi="Garamond"/>
        </w:rPr>
      </w:pPr>
    </w:p>
    <w:p w14:paraId="74BD0D39" w14:textId="77777777" w:rsidR="00232CFA" w:rsidRDefault="00232CFA" w:rsidP="00232CFA">
      <w:pPr>
        <w:spacing w:after="0" w:line="276" w:lineRule="auto"/>
        <w:jc w:val="both"/>
        <w:rPr>
          <w:rFonts w:ascii="Garamond" w:hAnsi="Garamond"/>
        </w:rPr>
      </w:pPr>
    </w:p>
    <w:p w14:paraId="10BB2816" w14:textId="77777777" w:rsidR="00232CFA" w:rsidRDefault="00232CFA" w:rsidP="00232CFA">
      <w:pPr>
        <w:spacing w:after="0" w:line="276" w:lineRule="auto"/>
        <w:jc w:val="both"/>
        <w:rPr>
          <w:rFonts w:ascii="Garamond" w:hAnsi="Garamond"/>
        </w:rPr>
      </w:pPr>
    </w:p>
    <w:p w14:paraId="7950E099" w14:textId="77777777" w:rsidR="00232CFA" w:rsidRDefault="00232CFA" w:rsidP="00232CFA">
      <w:pPr>
        <w:spacing w:after="0" w:line="276" w:lineRule="auto"/>
        <w:jc w:val="both"/>
        <w:rPr>
          <w:rFonts w:ascii="Garamond" w:hAnsi="Garamond"/>
        </w:rPr>
      </w:pPr>
    </w:p>
    <w:p w14:paraId="5E6ED5FF" w14:textId="77777777" w:rsidR="00232CFA" w:rsidRDefault="00232CFA" w:rsidP="00232CFA">
      <w:pPr>
        <w:spacing w:after="0" w:line="276" w:lineRule="auto"/>
        <w:jc w:val="both"/>
        <w:rPr>
          <w:rFonts w:ascii="Garamond" w:hAnsi="Garamond"/>
        </w:rPr>
      </w:pPr>
    </w:p>
    <w:p w14:paraId="73CB0D11" w14:textId="77777777" w:rsidR="00232CFA" w:rsidRDefault="00232CFA" w:rsidP="00232CFA">
      <w:pPr>
        <w:spacing w:after="0" w:line="276" w:lineRule="auto"/>
        <w:jc w:val="both"/>
        <w:rPr>
          <w:rFonts w:ascii="Garamond" w:hAnsi="Garamond"/>
        </w:rPr>
      </w:pPr>
    </w:p>
    <w:p w14:paraId="44C6099A" w14:textId="77777777" w:rsidR="00232CFA" w:rsidRDefault="00232CFA" w:rsidP="00232CFA">
      <w:pPr>
        <w:spacing w:after="0" w:line="276" w:lineRule="auto"/>
        <w:jc w:val="both"/>
        <w:rPr>
          <w:rFonts w:ascii="Garamond" w:hAnsi="Garamond"/>
        </w:rPr>
      </w:pPr>
    </w:p>
    <w:p w14:paraId="39512621" w14:textId="77777777" w:rsidR="00232CFA" w:rsidRDefault="00232CFA" w:rsidP="00232CFA">
      <w:pPr>
        <w:spacing w:after="0" w:line="276" w:lineRule="auto"/>
        <w:jc w:val="both"/>
        <w:rPr>
          <w:rFonts w:ascii="Garamond" w:hAnsi="Garamond"/>
        </w:rPr>
      </w:pPr>
    </w:p>
    <w:p w14:paraId="5805F1A3" w14:textId="77777777" w:rsidR="00232CFA" w:rsidRDefault="00232CFA" w:rsidP="00232CFA">
      <w:pPr>
        <w:spacing w:after="0" w:line="276" w:lineRule="auto"/>
        <w:jc w:val="both"/>
        <w:rPr>
          <w:rFonts w:ascii="Garamond" w:hAnsi="Garamond"/>
        </w:rPr>
      </w:pPr>
    </w:p>
    <w:p w14:paraId="4E53736A" w14:textId="77777777" w:rsidR="00232CFA" w:rsidRDefault="00232CFA" w:rsidP="00232CFA">
      <w:pPr>
        <w:spacing w:after="0" w:line="276" w:lineRule="auto"/>
        <w:jc w:val="both"/>
        <w:rPr>
          <w:rFonts w:ascii="Garamond" w:hAnsi="Garamond"/>
        </w:rPr>
      </w:pPr>
    </w:p>
    <w:p w14:paraId="200FC851" w14:textId="77777777" w:rsidR="00232CFA" w:rsidRDefault="00232CFA" w:rsidP="00232CFA">
      <w:pPr>
        <w:spacing w:after="0" w:line="276" w:lineRule="auto"/>
        <w:jc w:val="both"/>
        <w:rPr>
          <w:rFonts w:ascii="Garamond" w:hAnsi="Garamond"/>
        </w:rPr>
      </w:pPr>
    </w:p>
    <w:p w14:paraId="3232857B" w14:textId="77777777" w:rsidR="00232CFA" w:rsidRDefault="00232CFA" w:rsidP="00232CFA">
      <w:pPr>
        <w:spacing w:after="0" w:line="276" w:lineRule="auto"/>
        <w:jc w:val="both"/>
        <w:rPr>
          <w:rFonts w:ascii="Garamond" w:hAnsi="Garamond"/>
        </w:rPr>
      </w:pPr>
    </w:p>
    <w:p w14:paraId="0B31B98B" w14:textId="77777777" w:rsidR="00232CFA" w:rsidRDefault="00232CFA" w:rsidP="00232CFA">
      <w:pPr>
        <w:spacing w:after="0" w:line="276" w:lineRule="auto"/>
        <w:jc w:val="both"/>
        <w:rPr>
          <w:rFonts w:ascii="Garamond" w:hAnsi="Garamond"/>
        </w:rPr>
      </w:pPr>
    </w:p>
    <w:p w14:paraId="79D24E0E" w14:textId="77777777" w:rsidR="00232CFA" w:rsidRDefault="00232CFA" w:rsidP="00232CFA">
      <w:pPr>
        <w:spacing w:after="0" w:line="276" w:lineRule="auto"/>
        <w:jc w:val="both"/>
        <w:rPr>
          <w:rFonts w:ascii="Garamond" w:hAnsi="Garamond"/>
        </w:rPr>
      </w:pPr>
    </w:p>
    <w:p w14:paraId="453F26D3" w14:textId="77777777" w:rsidR="00232CFA" w:rsidRDefault="00232CFA" w:rsidP="00232CFA">
      <w:pPr>
        <w:spacing w:after="0" w:line="276" w:lineRule="auto"/>
        <w:jc w:val="both"/>
        <w:rPr>
          <w:rFonts w:ascii="Garamond" w:hAnsi="Garamond"/>
        </w:rPr>
      </w:pPr>
    </w:p>
    <w:p w14:paraId="6C01FE36" w14:textId="77777777" w:rsidR="00232CFA" w:rsidRDefault="00232CFA" w:rsidP="00232CFA">
      <w:pPr>
        <w:spacing w:after="0" w:line="276" w:lineRule="auto"/>
        <w:jc w:val="both"/>
        <w:rPr>
          <w:rFonts w:ascii="Garamond" w:hAnsi="Garamond"/>
        </w:rPr>
      </w:pPr>
    </w:p>
    <w:p w14:paraId="5753E147" w14:textId="77777777" w:rsidR="00232CFA" w:rsidRDefault="00232CFA" w:rsidP="00232CFA">
      <w:pPr>
        <w:spacing w:after="0" w:line="276" w:lineRule="auto"/>
        <w:jc w:val="both"/>
        <w:rPr>
          <w:rFonts w:ascii="Garamond" w:hAnsi="Garamond"/>
        </w:rPr>
      </w:pPr>
    </w:p>
    <w:p w14:paraId="503C1C18" w14:textId="77777777" w:rsidR="00232CFA" w:rsidRDefault="00232CFA" w:rsidP="00232CFA">
      <w:pPr>
        <w:spacing w:after="0" w:line="276" w:lineRule="auto"/>
        <w:jc w:val="both"/>
        <w:rPr>
          <w:rFonts w:ascii="Garamond" w:hAnsi="Garamond"/>
        </w:rPr>
      </w:pPr>
    </w:p>
    <w:p w14:paraId="2755698F" w14:textId="77777777" w:rsidR="00232CFA" w:rsidRDefault="00232CFA" w:rsidP="00232CFA">
      <w:pPr>
        <w:spacing w:after="0" w:line="276" w:lineRule="auto"/>
        <w:jc w:val="both"/>
        <w:rPr>
          <w:rFonts w:ascii="Garamond" w:hAnsi="Garamond"/>
        </w:rPr>
      </w:pPr>
    </w:p>
    <w:p w14:paraId="52E30865" w14:textId="77777777" w:rsidR="00232CFA" w:rsidRDefault="00232CFA" w:rsidP="00232CFA">
      <w:pPr>
        <w:spacing w:after="0" w:line="276" w:lineRule="auto"/>
        <w:jc w:val="both"/>
        <w:rPr>
          <w:rFonts w:ascii="Garamond" w:hAnsi="Garamond"/>
        </w:rPr>
      </w:pPr>
    </w:p>
    <w:p w14:paraId="43367A17" w14:textId="77777777" w:rsidR="00232CFA" w:rsidRDefault="00232CFA" w:rsidP="00232CFA">
      <w:pPr>
        <w:spacing w:after="0" w:line="276" w:lineRule="auto"/>
        <w:jc w:val="both"/>
        <w:rPr>
          <w:rFonts w:ascii="Garamond" w:hAnsi="Garamond"/>
        </w:rPr>
      </w:pPr>
    </w:p>
    <w:p w14:paraId="5DDDC452" w14:textId="77777777" w:rsidR="00232CFA" w:rsidRDefault="00232CFA" w:rsidP="00232CFA">
      <w:pPr>
        <w:spacing w:after="0" w:line="276" w:lineRule="auto"/>
        <w:jc w:val="both"/>
        <w:rPr>
          <w:rFonts w:ascii="Garamond" w:hAnsi="Garamond"/>
        </w:rPr>
      </w:pPr>
    </w:p>
    <w:p w14:paraId="57684BDE" w14:textId="77777777" w:rsidR="00232CFA" w:rsidRDefault="00232CFA" w:rsidP="00232CFA">
      <w:pPr>
        <w:spacing w:after="0" w:line="276" w:lineRule="auto"/>
        <w:jc w:val="both"/>
        <w:rPr>
          <w:rFonts w:ascii="Garamond" w:hAnsi="Garamond"/>
        </w:rPr>
      </w:pPr>
    </w:p>
    <w:p w14:paraId="6817DBC5" w14:textId="77777777" w:rsidR="00232CFA" w:rsidRDefault="00232CFA" w:rsidP="00232CFA">
      <w:pPr>
        <w:spacing w:after="0" w:line="276" w:lineRule="auto"/>
        <w:jc w:val="both"/>
        <w:rPr>
          <w:rFonts w:ascii="Garamond" w:hAnsi="Garamond"/>
        </w:rPr>
      </w:pPr>
    </w:p>
    <w:p w14:paraId="0420EE20" w14:textId="77777777" w:rsidR="00232CFA" w:rsidRDefault="00232CFA" w:rsidP="00232CFA">
      <w:pPr>
        <w:spacing w:after="0" w:line="276" w:lineRule="auto"/>
        <w:jc w:val="both"/>
        <w:rPr>
          <w:rFonts w:ascii="Garamond" w:hAnsi="Garamond"/>
        </w:rPr>
      </w:pPr>
    </w:p>
    <w:p w14:paraId="26F3CDD9" w14:textId="77777777" w:rsidR="00232CFA" w:rsidRDefault="00232CFA" w:rsidP="00232CFA">
      <w:pPr>
        <w:spacing w:after="0" w:line="276" w:lineRule="auto"/>
        <w:jc w:val="both"/>
        <w:rPr>
          <w:rFonts w:ascii="Garamond" w:hAnsi="Garamond"/>
        </w:rPr>
      </w:pPr>
    </w:p>
    <w:p w14:paraId="37D472C9" w14:textId="77777777" w:rsidR="00232CFA" w:rsidRDefault="00232CFA" w:rsidP="00232CFA">
      <w:pPr>
        <w:spacing w:after="0" w:line="276" w:lineRule="auto"/>
        <w:jc w:val="both"/>
        <w:rPr>
          <w:rFonts w:ascii="Garamond" w:hAnsi="Garamond"/>
        </w:rPr>
      </w:pPr>
    </w:p>
    <w:p w14:paraId="15AB6DF1" w14:textId="77777777" w:rsidR="00232CFA" w:rsidRDefault="00232CFA" w:rsidP="00232CFA">
      <w:pPr>
        <w:spacing w:after="0" w:line="276" w:lineRule="auto"/>
        <w:jc w:val="both"/>
        <w:rPr>
          <w:rFonts w:ascii="Garamond" w:hAnsi="Garamond"/>
        </w:rPr>
      </w:pPr>
    </w:p>
    <w:p w14:paraId="243FB96B" w14:textId="77777777" w:rsidR="00232CFA" w:rsidRDefault="00232CFA" w:rsidP="00232CFA">
      <w:pPr>
        <w:spacing w:after="0" w:line="276" w:lineRule="auto"/>
        <w:jc w:val="both"/>
        <w:rPr>
          <w:rFonts w:ascii="Garamond" w:hAnsi="Garamond"/>
        </w:rPr>
      </w:pPr>
    </w:p>
    <w:p w14:paraId="4576824F" w14:textId="77777777" w:rsidR="00232CFA" w:rsidRDefault="00232CFA" w:rsidP="00232CFA">
      <w:pPr>
        <w:spacing w:after="0" w:line="276" w:lineRule="auto"/>
        <w:jc w:val="both"/>
        <w:rPr>
          <w:rFonts w:ascii="Garamond" w:hAnsi="Garamond"/>
        </w:rPr>
      </w:pPr>
    </w:p>
    <w:p w14:paraId="228D49D3" w14:textId="77777777" w:rsidR="00232CFA" w:rsidRDefault="00232CFA" w:rsidP="00232CFA">
      <w:pPr>
        <w:spacing w:after="0" w:line="276" w:lineRule="auto"/>
        <w:jc w:val="both"/>
        <w:rPr>
          <w:rFonts w:ascii="Garamond" w:hAnsi="Garamond"/>
        </w:rPr>
      </w:pPr>
    </w:p>
    <w:p w14:paraId="78E533B9" w14:textId="77777777" w:rsidR="00232CFA" w:rsidRDefault="00232CFA" w:rsidP="00232CFA">
      <w:pPr>
        <w:spacing w:after="0" w:line="276" w:lineRule="auto"/>
        <w:jc w:val="both"/>
        <w:rPr>
          <w:rFonts w:ascii="Garamond" w:hAnsi="Garamond"/>
        </w:rPr>
      </w:pPr>
    </w:p>
    <w:p w14:paraId="30173AA4" w14:textId="77777777" w:rsidR="00232CFA" w:rsidRDefault="00232CFA" w:rsidP="00232CFA">
      <w:pPr>
        <w:spacing w:after="0" w:line="276" w:lineRule="auto"/>
        <w:jc w:val="both"/>
        <w:rPr>
          <w:rFonts w:ascii="Garamond" w:hAnsi="Garamond"/>
        </w:rPr>
      </w:pPr>
    </w:p>
    <w:p w14:paraId="30238963" w14:textId="77777777" w:rsidR="00232CFA" w:rsidRDefault="00232CFA" w:rsidP="00232CFA">
      <w:pPr>
        <w:spacing w:after="0" w:line="276" w:lineRule="auto"/>
        <w:jc w:val="both"/>
        <w:rPr>
          <w:rFonts w:ascii="Garamond" w:hAnsi="Garamond"/>
        </w:rPr>
      </w:pPr>
    </w:p>
    <w:p w14:paraId="4BD31BF4" w14:textId="77777777" w:rsidR="00232CFA" w:rsidRDefault="00232CFA" w:rsidP="00232CFA">
      <w:pPr>
        <w:spacing w:after="0" w:line="276" w:lineRule="auto"/>
        <w:jc w:val="both"/>
        <w:rPr>
          <w:rFonts w:ascii="Garamond" w:hAnsi="Garamond"/>
        </w:rPr>
      </w:pPr>
    </w:p>
    <w:p w14:paraId="5910E5C7" w14:textId="77777777" w:rsidR="00232CFA" w:rsidRDefault="00232CFA" w:rsidP="00232CFA">
      <w:pPr>
        <w:spacing w:after="0" w:line="276" w:lineRule="auto"/>
        <w:jc w:val="both"/>
        <w:rPr>
          <w:rFonts w:ascii="Garamond" w:hAnsi="Garamond"/>
        </w:rPr>
      </w:pPr>
    </w:p>
    <w:p w14:paraId="15128920" w14:textId="77777777" w:rsidR="00232CFA" w:rsidRDefault="00232CFA" w:rsidP="00232CFA">
      <w:pPr>
        <w:spacing w:after="0" w:line="276" w:lineRule="auto"/>
        <w:jc w:val="both"/>
        <w:rPr>
          <w:rFonts w:ascii="Garamond" w:hAnsi="Garamond"/>
        </w:rPr>
      </w:pPr>
    </w:p>
    <w:p w14:paraId="7C0C5EB3" w14:textId="77777777" w:rsidR="00232CFA" w:rsidRDefault="00232CFA" w:rsidP="00232CFA">
      <w:pPr>
        <w:spacing w:after="0" w:line="276" w:lineRule="auto"/>
        <w:jc w:val="both"/>
        <w:rPr>
          <w:rFonts w:ascii="Garamond" w:hAnsi="Garamond"/>
        </w:rPr>
      </w:pPr>
    </w:p>
    <w:p w14:paraId="76CF7D9E" w14:textId="46C42AA9" w:rsidR="00232CFA" w:rsidRPr="00232CFA" w:rsidRDefault="00232CFA" w:rsidP="00232CFA">
      <w:pPr>
        <w:rPr>
          <w:rFonts w:ascii="Garamond" w:hAnsi="Garamond"/>
        </w:rPr>
      </w:pPr>
    </w:p>
    <w:p w14:paraId="7CA244BF" w14:textId="6EA57D64" w:rsidR="00232CFA" w:rsidRDefault="00232CFA">
      <w:pPr>
        <w:rPr>
          <w:rFonts w:ascii="Garamond" w:hAnsi="Garamond"/>
        </w:rPr>
      </w:pPr>
      <w:r w:rsidRPr="00232CFA">
        <w:rPr>
          <w:rFonts w:ascii="Garamond" w:hAnsi="Garamond"/>
          <w:noProof/>
        </w:rPr>
        <w:drawing>
          <wp:anchor distT="0" distB="0" distL="114300" distR="114300" simplePos="0" relativeHeight="251659264" behindDoc="0" locked="0" layoutInCell="1" allowOverlap="1" wp14:anchorId="4C7D1D07" wp14:editId="5BE579DA">
            <wp:simplePos x="0" y="0"/>
            <wp:positionH relativeFrom="margin">
              <wp:align>right</wp:align>
            </wp:positionH>
            <wp:positionV relativeFrom="paragraph">
              <wp:posOffset>20320</wp:posOffset>
            </wp:positionV>
            <wp:extent cx="5166867" cy="7665420"/>
            <wp:effectExtent l="0" t="0" r="0" b="0"/>
            <wp:wrapNone/>
            <wp:docPr id="162915182" name="Immagine 4" descr="Immagine che contiene testo, carta, Carattere, bianco e n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5182" name="Immagine 4" descr="Immagine che contiene testo, carta, Carattere, bianco e nero&#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6867" cy="7665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rPr>
        <w:br w:type="page"/>
      </w:r>
    </w:p>
    <w:p w14:paraId="1B4DEDA5" w14:textId="639E63BC" w:rsidR="00232CFA" w:rsidRPr="00232CFA" w:rsidRDefault="00232CFA" w:rsidP="00232CFA">
      <w:pPr>
        <w:rPr>
          <w:rFonts w:ascii="Garamond" w:hAnsi="Garamond"/>
        </w:rPr>
      </w:pPr>
    </w:p>
    <w:p w14:paraId="091E0A95" w14:textId="35AE34E8" w:rsidR="00232CFA" w:rsidRDefault="00232CFA">
      <w:pPr>
        <w:rPr>
          <w:rFonts w:ascii="Garamond" w:hAnsi="Garamond"/>
        </w:rPr>
      </w:pPr>
      <w:r w:rsidRPr="00232CFA">
        <w:rPr>
          <w:rFonts w:ascii="Garamond" w:hAnsi="Garamond"/>
          <w:noProof/>
        </w:rPr>
        <w:drawing>
          <wp:anchor distT="0" distB="0" distL="114300" distR="114300" simplePos="0" relativeHeight="251660288" behindDoc="0" locked="0" layoutInCell="1" allowOverlap="1" wp14:anchorId="251047E1" wp14:editId="17C0D62F">
            <wp:simplePos x="0" y="0"/>
            <wp:positionH relativeFrom="margin">
              <wp:align>right</wp:align>
            </wp:positionH>
            <wp:positionV relativeFrom="paragraph">
              <wp:posOffset>20320</wp:posOffset>
            </wp:positionV>
            <wp:extent cx="5376923" cy="7926070"/>
            <wp:effectExtent l="0" t="0" r="0" b="0"/>
            <wp:wrapNone/>
            <wp:docPr id="1479333304" name="Immagine 6" descr="Immagine che contiene testo, carta, bianco e n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33304" name="Immagine 6" descr="Immagine che contiene testo, carta, bianco e nero, Carattere&#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6923" cy="792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B3807" w14:textId="3EA75D2C" w:rsidR="00232CFA" w:rsidRDefault="00232CFA" w:rsidP="00232CFA">
      <w:pPr>
        <w:spacing w:after="0" w:line="276" w:lineRule="auto"/>
        <w:jc w:val="both"/>
        <w:rPr>
          <w:rFonts w:ascii="Garamond" w:hAnsi="Garamond"/>
        </w:rPr>
      </w:pPr>
    </w:p>
    <w:sectPr w:rsidR="00232CFA" w:rsidSect="004C6CC9">
      <w:headerReference w:type="default" r:id="rId10"/>
      <w:footerReference w:type="default" r:id="rId11"/>
      <w:pgSz w:w="11906" w:h="16838"/>
      <w:pgMar w:top="1701" w:right="1418" w:bottom="1418" w:left="1418" w:header="851"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CCF65" w14:textId="77777777" w:rsidR="004C4ABE" w:rsidRDefault="004C4ABE" w:rsidP="00332AF6">
      <w:pPr>
        <w:spacing w:after="0" w:line="240" w:lineRule="auto"/>
      </w:pPr>
      <w:r>
        <w:separator/>
      </w:r>
    </w:p>
  </w:endnote>
  <w:endnote w:type="continuationSeparator" w:id="0">
    <w:p w14:paraId="01AF2F52" w14:textId="77777777" w:rsidR="004C4ABE" w:rsidRDefault="004C4ABE" w:rsidP="00332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910749"/>
      <w:docPartObj>
        <w:docPartGallery w:val="Page Numbers (Bottom of Page)"/>
        <w:docPartUnique/>
      </w:docPartObj>
    </w:sdtPr>
    <w:sdtEndPr>
      <w:rPr>
        <w:rFonts w:ascii="Garamond" w:hAnsi="Garamond"/>
        <w:sz w:val="24"/>
        <w:szCs w:val="24"/>
      </w:rPr>
    </w:sdtEndPr>
    <w:sdtContent>
      <w:p w14:paraId="0539ABA0" w14:textId="2DCD290C" w:rsidR="004C6CC9" w:rsidRPr="004C6CC9" w:rsidRDefault="004C6CC9">
        <w:pPr>
          <w:pStyle w:val="Pidipagina"/>
          <w:jc w:val="right"/>
          <w:rPr>
            <w:rFonts w:ascii="Garamond" w:hAnsi="Garamond"/>
            <w:sz w:val="24"/>
            <w:szCs w:val="24"/>
          </w:rPr>
        </w:pPr>
        <w:r w:rsidRPr="004C6CC9">
          <w:rPr>
            <w:rFonts w:ascii="Garamond" w:hAnsi="Garamond"/>
            <w:sz w:val="24"/>
            <w:szCs w:val="24"/>
          </w:rPr>
          <w:fldChar w:fldCharType="begin"/>
        </w:r>
        <w:r w:rsidRPr="004C6CC9">
          <w:rPr>
            <w:rFonts w:ascii="Garamond" w:hAnsi="Garamond"/>
            <w:sz w:val="24"/>
            <w:szCs w:val="24"/>
          </w:rPr>
          <w:instrText>PAGE   \* MERGEFORMAT</w:instrText>
        </w:r>
        <w:r w:rsidRPr="004C6CC9">
          <w:rPr>
            <w:rFonts w:ascii="Garamond" w:hAnsi="Garamond"/>
            <w:sz w:val="24"/>
            <w:szCs w:val="24"/>
          </w:rPr>
          <w:fldChar w:fldCharType="separate"/>
        </w:r>
        <w:r w:rsidRPr="004C6CC9">
          <w:rPr>
            <w:rFonts w:ascii="Garamond" w:hAnsi="Garamond"/>
            <w:sz w:val="24"/>
            <w:szCs w:val="24"/>
          </w:rPr>
          <w:t>2</w:t>
        </w:r>
        <w:r w:rsidRPr="004C6CC9">
          <w:rPr>
            <w:rFonts w:ascii="Garamond" w:hAnsi="Garamond"/>
            <w:sz w:val="24"/>
            <w:szCs w:val="24"/>
          </w:rPr>
          <w:fldChar w:fldCharType="end"/>
        </w:r>
      </w:p>
    </w:sdtContent>
  </w:sdt>
  <w:p w14:paraId="579A4B80" w14:textId="77777777" w:rsidR="004C6CC9" w:rsidRDefault="004C6CC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54929" w14:textId="77777777" w:rsidR="004C4ABE" w:rsidRDefault="004C4ABE" w:rsidP="00332AF6">
      <w:pPr>
        <w:spacing w:after="0" w:line="240" w:lineRule="auto"/>
      </w:pPr>
      <w:r>
        <w:separator/>
      </w:r>
    </w:p>
  </w:footnote>
  <w:footnote w:type="continuationSeparator" w:id="0">
    <w:p w14:paraId="40E06747" w14:textId="77777777" w:rsidR="004C4ABE" w:rsidRDefault="004C4ABE" w:rsidP="00332AF6">
      <w:pPr>
        <w:spacing w:after="0" w:line="240" w:lineRule="auto"/>
      </w:pPr>
      <w:r>
        <w:continuationSeparator/>
      </w:r>
    </w:p>
  </w:footnote>
  <w:footnote w:id="1">
    <w:p w14:paraId="46E7A4A5" w14:textId="3871845C" w:rsidR="00332AF6" w:rsidRPr="00332AF6" w:rsidRDefault="00332AF6" w:rsidP="00332AF6">
      <w:pPr>
        <w:pStyle w:val="Testonotaapidipagina"/>
        <w:tabs>
          <w:tab w:val="left" w:pos="567"/>
        </w:tabs>
        <w:jc w:val="both"/>
        <w:rPr>
          <w:rFonts w:ascii="Garamond" w:hAnsi="Garamond"/>
        </w:rPr>
      </w:pPr>
      <w:r>
        <w:rPr>
          <w:rFonts w:ascii="Garamond" w:hAnsi="Garamond"/>
        </w:rPr>
        <w:tab/>
      </w:r>
      <w:r w:rsidRPr="00332AF6">
        <w:rPr>
          <w:rStyle w:val="Rimandonotaapidipagina"/>
          <w:rFonts w:ascii="Garamond" w:hAnsi="Garamond"/>
        </w:rPr>
        <w:footnoteRef/>
      </w:r>
      <w:r w:rsidRPr="00332AF6">
        <w:rPr>
          <w:rFonts w:ascii="Garamond" w:hAnsi="Garamond"/>
        </w:rPr>
        <w:t xml:space="preserve"> «Avvenire» del 7 ottobre 2010. </w:t>
      </w:r>
    </w:p>
    <w:p w14:paraId="072A0308" w14:textId="77777777" w:rsidR="00332AF6" w:rsidRPr="00332AF6" w:rsidRDefault="00332AF6" w:rsidP="00332AF6">
      <w:pPr>
        <w:pStyle w:val="Testonotaapidipagina"/>
        <w:jc w:val="both"/>
        <w:rPr>
          <w:rFonts w:ascii="Garamond" w:hAnsi="Garamond"/>
        </w:rPr>
      </w:pPr>
    </w:p>
  </w:footnote>
  <w:footnote w:id="2">
    <w:p w14:paraId="33E8C7EA" w14:textId="6B87F8F0" w:rsidR="002F39BE" w:rsidRPr="00F56770" w:rsidRDefault="002F39BE" w:rsidP="003A2E30">
      <w:pPr>
        <w:tabs>
          <w:tab w:val="left" w:pos="567"/>
        </w:tabs>
        <w:spacing w:after="0" w:line="240" w:lineRule="auto"/>
        <w:jc w:val="both"/>
        <w:rPr>
          <w:rFonts w:ascii="Garamond" w:hAnsi="Garamond"/>
          <w:sz w:val="20"/>
          <w:szCs w:val="20"/>
        </w:rPr>
      </w:pPr>
      <w:r>
        <w:rPr>
          <w:rFonts w:ascii="Garamond" w:hAnsi="Garamond"/>
          <w:sz w:val="20"/>
          <w:szCs w:val="20"/>
        </w:rPr>
        <w:tab/>
      </w:r>
      <w:r w:rsidRPr="002F39BE">
        <w:rPr>
          <w:rStyle w:val="Rimandonotaapidipagina"/>
          <w:rFonts w:ascii="Garamond" w:hAnsi="Garamond"/>
          <w:sz w:val="20"/>
          <w:szCs w:val="20"/>
        </w:rPr>
        <w:footnoteRef/>
      </w:r>
      <w:r w:rsidRPr="002F39BE">
        <w:rPr>
          <w:rFonts w:ascii="Garamond" w:hAnsi="Garamond"/>
          <w:sz w:val="20"/>
          <w:szCs w:val="20"/>
        </w:rPr>
        <w:t xml:space="preserve"> </w:t>
      </w:r>
      <w:r w:rsidR="00F56770">
        <w:rPr>
          <w:rFonts w:ascii="Garamond" w:hAnsi="Garamond"/>
          <w:sz w:val="20"/>
          <w:szCs w:val="20"/>
        </w:rPr>
        <w:t xml:space="preserve">Cfr. </w:t>
      </w:r>
      <w:r w:rsidR="00F56770">
        <w:rPr>
          <w:rFonts w:ascii="Garamond" w:hAnsi="Garamond"/>
          <w:i/>
          <w:iCs/>
          <w:sz w:val="20"/>
          <w:szCs w:val="20"/>
        </w:rPr>
        <w:t>Charles de Foucauld</w:t>
      </w:r>
      <w:r w:rsidR="00F56770">
        <w:rPr>
          <w:rFonts w:ascii="Garamond" w:hAnsi="Garamond"/>
          <w:sz w:val="20"/>
          <w:szCs w:val="20"/>
        </w:rPr>
        <w:t xml:space="preserve">, 23-50 (note 112-119). </w:t>
      </w:r>
      <w:r w:rsidRPr="002F39BE">
        <w:rPr>
          <w:rFonts w:ascii="Garamond" w:hAnsi="Garamond"/>
          <w:smallCaps/>
          <w:sz w:val="20"/>
          <w:szCs w:val="20"/>
        </w:rPr>
        <w:t>P. Sequeri</w:t>
      </w:r>
      <w:r>
        <w:rPr>
          <w:rFonts w:ascii="Garamond" w:hAnsi="Garamond"/>
          <w:sz w:val="20"/>
          <w:szCs w:val="20"/>
        </w:rPr>
        <w:t xml:space="preserve">, </w:t>
      </w:r>
      <w:r w:rsidRPr="002F39BE">
        <w:rPr>
          <w:rFonts w:ascii="Garamond" w:hAnsi="Garamond" w:cs="Times New Roman"/>
          <w:i/>
          <w:sz w:val="20"/>
          <w:szCs w:val="20"/>
        </w:rPr>
        <w:t>Ripartire da Nazareth? Appunti su Charles de Foucauld e la nuova evangelizzazione</w:t>
      </w:r>
      <w:r w:rsidRPr="002F39BE">
        <w:rPr>
          <w:rFonts w:ascii="Garamond" w:hAnsi="Garamond" w:cs="Times New Roman"/>
          <w:sz w:val="20"/>
          <w:szCs w:val="20"/>
        </w:rPr>
        <w:t xml:space="preserve">, </w:t>
      </w:r>
      <w:r>
        <w:rPr>
          <w:rFonts w:ascii="Garamond" w:hAnsi="Garamond" w:cs="Times New Roman"/>
          <w:sz w:val="20"/>
          <w:szCs w:val="20"/>
        </w:rPr>
        <w:t>«La rivista del clero italiano»</w:t>
      </w:r>
      <w:r w:rsidR="00F56770">
        <w:rPr>
          <w:rFonts w:ascii="Garamond" w:hAnsi="Garamond" w:cs="Times New Roman"/>
          <w:sz w:val="20"/>
          <w:szCs w:val="20"/>
        </w:rPr>
        <w:t xml:space="preserve"> </w:t>
      </w:r>
      <w:r w:rsidRPr="002F39BE">
        <w:rPr>
          <w:rFonts w:ascii="Garamond" w:hAnsi="Garamond" w:cs="Times New Roman"/>
          <w:sz w:val="20"/>
          <w:szCs w:val="20"/>
        </w:rPr>
        <w:t>77 (1996)</w:t>
      </w:r>
      <w:r w:rsidR="00F56770">
        <w:rPr>
          <w:rFonts w:ascii="Garamond" w:hAnsi="Garamond" w:cs="Times New Roman"/>
          <w:sz w:val="20"/>
          <w:szCs w:val="20"/>
        </w:rPr>
        <w:t xml:space="preserve"> </w:t>
      </w:r>
      <w:r w:rsidRPr="002F39BE">
        <w:rPr>
          <w:rFonts w:ascii="Garamond" w:hAnsi="Garamond" w:cs="Times New Roman"/>
          <w:sz w:val="20"/>
          <w:szCs w:val="20"/>
        </w:rPr>
        <w:t>567-587</w:t>
      </w:r>
      <w:r w:rsidR="00F56770">
        <w:rPr>
          <w:rFonts w:ascii="Garamond" w:hAnsi="Garamond" w:cs="Times New Roman"/>
          <w:sz w:val="20"/>
          <w:szCs w:val="20"/>
        </w:rPr>
        <w:t xml:space="preserve"> </w:t>
      </w:r>
      <w:proofErr w:type="gramStart"/>
      <w:r w:rsidR="00F56770">
        <w:rPr>
          <w:rFonts w:ascii="Garamond" w:hAnsi="Garamond" w:cs="Times New Roman"/>
          <w:sz w:val="20"/>
          <w:szCs w:val="20"/>
        </w:rPr>
        <w:t>e</w:t>
      </w:r>
      <w:proofErr w:type="gramEnd"/>
      <w:r w:rsidR="00F56770">
        <w:rPr>
          <w:rFonts w:ascii="Garamond" w:hAnsi="Garamond" w:cs="Times New Roman"/>
          <w:sz w:val="20"/>
          <w:szCs w:val="20"/>
        </w:rPr>
        <w:t xml:space="preserve"> </w:t>
      </w:r>
      <w:r w:rsidRPr="002F39BE">
        <w:rPr>
          <w:rFonts w:ascii="Garamond" w:hAnsi="Garamond" w:cs="Times New Roman"/>
          <w:i/>
          <w:sz w:val="20"/>
          <w:szCs w:val="20"/>
        </w:rPr>
        <w:t>Epilogo: ripartire da Nazaret? Appunti su C</w:t>
      </w:r>
      <w:r w:rsidR="00F56770">
        <w:rPr>
          <w:rFonts w:ascii="Garamond" w:hAnsi="Garamond" w:cs="Times New Roman"/>
          <w:i/>
          <w:sz w:val="20"/>
          <w:szCs w:val="20"/>
        </w:rPr>
        <w:t>harles de Foucauld</w:t>
      </w:r>
      <w:r w:rsidRPr="002F39BE">
        <w:rPr>
          <w:rFonts w:ascii="Garamond" w:hAnsi="Garamond" w:cs="Times New Roman"/>
          <w:i/>
          <w:sz w:val="20"/>
          <w:szCs w:val="20"/>
        </w:rPr>
        <w:t xml:space="preserve"> e la nuova evangelizzazione</w:t>
      </w:r>
      <w:r w:rsidRPr="002F39BE">
        <w:rPr>
          <w:rFonts w:ascii="Garamond" w:hAnsi="Garamond" w:cs="Times New Roman"/>
          <w:iCs/>
          <w:sz w:val="20"/>
          <w:szCs w:val="20"/>
        </w:rPr>
        <w:t xml:space="preserve">, in </w:t>
      </w:r>
      <w:r w:rsidRPr="00F56770">
        <w:rPr>
          <w:rFonts w:ascii="Garamond" w:hAnsi="Garamond" w:cs="Times New Roman"/>
          <w:iCs/>
          <w:smallCaps/>
          <w:sz w:val="20"/>
          <w:szCs w:val="20"/>
        </w:rPr>
        <w:t>R. Larini</w:t>
      </w:r>
      <w:r w:rsidRPr="002F39BE">
        <w:rPr>
          <w:rFonts w:ascii="Garamond" w:hAnsi="Garamond" w:cs="Times New Roman"/>
          <w:iCs/>
          <w:sz w:val="20"/>
          <w:szCs w:val="20"/>
        </w:rPr>
        <w:t xml:space="preserve"> (ed.),</w:t>
      </w:r>
      <w:r w:rsidRPr="002F39BE">
        <w:rPr>
          <w:rFonts w:ascii="Garamond" w:hAnsi="Garamond" w:cs="Times New Roman"/>
          <w:sz w:val="20"/>
          <w:szCs w:val="20"/>
        </w:rPr>
        <w:t xml:space="preserve"> </w:t>
      </w:r>
      <w:r w:rsidRPr="002F39BE">
        <w:rPr>
          <w:rFonts w:ascii="Garamond" w:hAnsi="Garamond" w:cs="Times New Roman"/>
          <w:i/>
          <w:sz w:val="20"/>
          <w:szCs w:val="20"/>
        </w:rPr>
        <w:t>Charles de Foucauld. L’eloquenza di una vita secondo l’evangelo</w:t>
      </w:r>
      <w:r w:rsidR="00F56770">
        <w:rPr>
          <w:rFonts w:ascii="Garamond" w:hAnsi="Garamond" w:cs="Times New Roman"/>
          <w:sz w:val="20"/>
          <w:szCs w:val="20"/>
        </w:rPr>
        <w:t xml:space="preserve">, </w:t>
      </w:r>
      <w:proofErr w:type="spellStart"/>
      <w:r w:rsidRPr="002F39BE">
        <w:rPr>
          <w:rFonts w:ascii="Garamond" w:hAnsi="Garamond" w:cs="Times New Roman"/>
          <w:sz w:val="20"/>
          <w:szCs w:val="20"/>
        </w:rPr>
        <w:t>Qiqajon</w:t>
      </w:r>
      <w:proofErr w:type="spellEnd"/>
      <w:r w:rsidRPr="002F39BE">
        <w:rPr>
          <w:rFonts w:ascii="Garamond" w:hAnsi="Garamond" w:cs="Times New Roman"/>
          <w:sz w:val="20"/>
          <w:szCs w:val="20"/>
        </w:rPr>
        <w:t>, Bose 2003, 149-174</w:t>
      </w:r>
      <w:r w:rsidR="00F56770">
        <w:rPr>
          <w:rFonts w:ascii="Garamond" w:hAnsi="Garamond" w:cs="Times New Roman"/>
          <w:sz w:val="20"/>
          <w:szCs w:val="20"/>
        </w:rPr>
        <w:t xml:space="preserve">. </w:t>
      </w:r>
    </w:p>
  </w:footnote>
  <w:footnote w:id="3">
    <w:p w14:paraId="4BA3B16E" w14:textId="3A73D107" w:rsidR="003A2E30" w:rsidRPr="002F39BE" w:rsidRDefault="002F39BE" w:rsidP="003A2E30">
      <w:pPr>
        <w:pStyle w:val="Testonotaapidipagina"/>
        <w:tabs>
          <w:tab w:val="left" w:pos="567"/>
        </w:tabs>
        <w:jc w:val="both"/>
        <w:rPr>
          <w:rFonts w:ascii="Garamond" w:hAnsi="Garamond"/>
        </w:rPr>
      </w:pPr>
      <w:r>
        <w:rPr>
          <w:rFonts w:ascii="Garamond" w:hAnsi="Garamond"/>
        </w:rPr>
        <w:tab/>
      </w:r>
      <w:r w:rsidRPr="002F39BE">
        <w:rPr>
          <w:rStyle w:val="Rimandonotaapidipagina"/>
          <w:rFonts w:ascii="Garamond" w:hAnsi="Garamond"/>
        </w:rPr>
        <w:footnoteRef/>
      </w:r>
      <w:r w:rsidRPr="002F39BE">
        <w:rPr>
          <w:rFonts w:ascii="Garamond" w:hAnsi="Garamond"/>
        </w:rPr>
        <w:t xml:space="preserve"> </w:t>
      </w:r>
      <w:r w:rsidR="003A2E30">
        <w:rPr>
          <w:rFonts w:ascii="Garamond" w:hAnsi="Garamond"/>
        </w:rPr>
        <w:t xml:space="preserve">Cfr. </w:t>
      </w:r>
      <w:r w:rsidR="003A2E30" w:rsidRPr="003A2E30">
        <w:rPr>
          <w:rFonts w:ascii="Garamond" w:hAnsi="Garamond"/>
          <w:smallCaps/>
        </w:rPr>
        <w:t>E. Prato</w:t>
      </w:r>
      <w:r w:rsidR="003A2E30">
        <w:rPr>
          <w:rFonts w:ascii="Garamond" w:hAnsi="Garamond"/>
        </w:rPr>
        <w:t xml:space="preserve">, </w:t>
      </w:r>
      <w:r w:rsidR="003A2E30">
        <w:rPr>
          <w:rFonts w:ascii="Garamond" w:hAnsi="Garamond"/>
          <w:i/>
          <w:iCs/>
        </w:rPr>
        <w:t>Il Dio capovolto. La novità cristiana: percorso di teologia fondamentale</w:t>
      </w:r>
      <w:r w:rsidR="003A2E30">
        <w:rPr>
          <w:rFonts w:ascii="Garamond" w:hAnsi="Garamond"/>
        </w:rPr>
        <w:t>, Cittadella, Assisi 2020</w:t>
      </w:r>
      <w:r w:rsidR="003A2E30">
        <w:rPr>
          <w:rFonts w:ascii="Garamond" w:hAnsi="Garamond"/>
          <w:vertAlign w:val="superscript"/>
        </w:rPr>
        <w:t>2</w:t>
      </w:r>
      <w:r w:rsidR="003A2E30">
        <w:rPr>
          <w:rFonts w:ascii="Garamond" w:hAnsi="Garamond"/>
        </w:rPr>
        <w:t>, 316-321.</w:t>
      </w:r>
    </w:p>
  </w:footnote>
  <w:footnote w:id="4">
    <w:p w14:paraId="7396BA04" w14:textId="5E3B3C8F" w:rsidR="00232CFA" w:rsidRPr="00232CFA" w:rsidRDefault="00232CFA" w:rsidP="00232CFA">
      <w:pPr>
        <w:tabs>
          <w:tab w:val="left" w:pos="567"/>
        </w:tabs>
        <w:spacing w:after="0" w:line="276" w:lineRule="auto"/>
        <w:jc w:val="both"/>
        <w:rPr>
          <w:rFonts w:ascii="Garamond" w:hAnsi="Garamond"/>
          <w:sz w:val="20"/>
        </w:rPr>
      </w:pPr>
      <w:r>
        <w:rPr>
          <w:rFonts w:ascii="Garamond" w:hAnsi="Garamond"/>
          <w:sz w:val="20"/>
        </w:rPr>
        <w:tab/>
      </w:r>
      <w:r w:rsidRPr="00232CFA">
        <w:rPr>
          <w:rStyle w:val="Rimandonotaapidipagina"/>
          <w:rFonts w:ascii="Garamond" w:hAnsi="Garamond"/>
          <w:sz w:val="20"/>
        </w:rPr>
        <w:footnoteRef/>
      </w:r>
      <w:r w:rsidRPr="00232CFA">
        <w:rPr>
          <w:rFonts w:ascii="Garamond" w:hAnsi="Garamond"/>
          <w:sz w:val="20"/>
        </w:rPr>
        <w:t xml:space="preserve"> </w:t>
      </w:r>
      <w:r w:rsidRPr="00232CFA">
        <w:rPr>
          <w:rFonts w:ascii="Garamond" w:hAnsi="Garamond"/>
          <w:smallCaps/>
          <w:sz w:val="20"/>
        </w:rPr>
        <w:t>E. Bolis</w:t>
      </w:r>
      <w:r w:rsidRPr="00232CFA">
        <w:rPr>
          <w:rFonts w:ascii="Garamond" w:hAnsi="Garamond"/>
          <w:sz w:val="20"/>
        </w:rPr>
        <w:t xml:space="preserve">, </w:t>
      </w:r>
      <w:r w:rsidRPr="00232CFA">
        <w:rPr>
          <w:rFonts w:ascii="Garamond" w:hAnsi="Garamond"/>
          <w:i/>
          <w:sz w:val="20"/>
        </w:rPr>
        <w:t>«Egli discende». Sulla ‘eredità spirituale’ di Charles de Foucauld</w:t>
      </w:r>
      <w:r w:rsidRPr="00232CFA">
        <w:rPr>
          <w:rFonts w:ascii="Garamond" w:hAnsi="Garamond"/>
          <w:sz w:val="20"/>
        </w:rPr>
        <w:t xml:space="preserve">, </w:t>
      </w:r>
      <w:r>
        <w:rPr>
          <w:rFonts w:ascii="Garamond" w:hAnsi="Garamond"/>
          <w:sz w:val="20"/>
        </w:rPr>
        <w:t xml:space="preserve">«La </w:t>
      </w:r>
      <w:r w:rsidR="002F39BE">
        <w:rPr>
          <w:rFonts w:ascii="Garamond" w:hAnsi="Garamond"/>
          <w:sz w:val="20"/>
        </w:rPr>
        <w:t>r</w:t>
      </w:r>
      <w:r>
        <w:rPr>
          <w:rFonts w:ascii="Garamond" w:hAnsi="Garamond"/>
          <w:sz w:val="20"/>
        </w:rPr>
        <w:t xml:space="preserve">ivista del </w:t>
      </w:r>
      <w:r w:rsidR="002F39BE">
        <w:rPr>
          <w:rFonts w:ascii="Garamond" w:hAnsi="Garamond"/>
          <w:sz w:val="20"/>
        </w:rPr>
        <w:t>c</w:t>
      </w:r>
      <w:r>
        <w:rPr>
          <w:rFonts w:ascii="Garamond" w:hAnsi="Garamond"/>
          <w:sz w:val="20"/>
        </w:rPr>
        <w:t xml:space="preserve">lero </w:t>
      </w:r>
      <w:r w:rsidR="002F39BE">
        <w:rPr>
          <w:rFonts w:ascii="Garamond" w:hAnsi="Garamond"/>
          <w:sz w:val="20"/>
        </w:rPr>
        <w:t>i</w:t>
      </w:r>
      <w:r>
        <w:rPr>
          <w:rFonts w:ascii="Garamond" w:hAnsi="Garamond"/>
          <w:sz w:val="20"/>
        </w:rPr>
        <w:t xml:space="preserve">taliano» </w:t>
      </w:r>
      <w:r w:rsidRPr="00232CFA">
        <w:rPr>
          <w:rFonts w:ascii="Garamond" w:hAnsi="Garamond"/>
          <w:sz w:val="20"/>
        </w:rPr>
        <w:t>86 (2005) 353-365</w:t>
      </w:r>
      <w:r>
        <w:rPr>
          <w:rFonts w:ascii="Garamond" w:hAnsi="Garamond"/>
          <w:sz w:val="20"/>
        </w:rPr>
        <w:t>: 357-359.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5E34" w14:textId="77777777" w:rsidR="00332AF6" w:rsidRDefault="00332AF6" w:rsidP="00332AF6">
    <w:pPr>
      <w:pStyle w:val="Intestazione"/>
      <w:jc w:val="right"/>
      <w:rPr>
        <w:rFonts w:ascii="Garamond" w:hAnsi="Garamond"/>
      </w:rPr>
    </w:pPr>
  </w:p>
  <w:p w14:paraId="656C657C" w14:textId="3DEFF41E" w:rsidR="00332AF6" w:rsidRDefault="00332AF6" w:rsidP="00332AF6">
    <w:pPr>
      <w:pStyle w:val="Intestazione"/>
      <w:jc w:val="right"/>
      <w:rPr>
        <w:rFonts w:ascii="Garamond" w:hAnsi="Garamond"/>
      </w:rPr>
    </w:pPr>
    <w:r w:rsidRPr="00332AF6">
      <w:rPr>
        <w:rFonts w:ascii="Garamond" w:hAnsi="Garamond"/>
      </w:rPr>
      <w:t xml:space="preserve">Teologia e pastorale della carità – Allegato 2 </w:t>
    </w:r>
  </w:p>
  <w:p w14:paraId="2F9E5AC2" w14:textId="77777777" w:rsidR="00332AF6" w:rsidRPr="00332AF6" w:rsidRDefault="00332AF6" w:rsidP="00332AF6">
    <w:pPr>
      <w:pStyle w:val="Intestazione"/>
      <w:jc w:val="right"/>
      <w:rPr>
        <w:rFonts w:ascii="Garamond" w:hAnsi="Garamon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2BF"/>
    <w:rsid w:val="000F7EF0"/>
    <w:rsid w:val="00232CFA"/>
    <w:rsid w:val="002F39BE"/>
    <w:rsid w:val="00325750"/>
    <w:rsid w:val="00332AF6"/>
    <w:rsid w:val="003A2E30"/>
    <w:rsid w:val="003E7D25"/>
    <w:rsid w:val="00402357"/>
    <w:rsid w:val="004C4ABE"/>
    <w:rsid w:val="004C6CC9"/>
    <w:rsid w:val="005A1E8B"/>
    <w:rsid w:val="00690D76"/>
    <w:rsid w:val="00746274"/>
    <w:rsid w:val="00853D6E"/>
    <w:rsid w:val="008F7720"/>
    <w:rsid w:val="009A4951"/>
    <w:rsid w:val="00A402BF"/>
    <w:rsid w:val="00D13333"/>
    <w:rsid w:val="00E63463"/>
    <w:rsid w:val="00EE68E3"/>
    <w:rsid w:val="00F567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AD626"/>
  <w15:chartTrackingRefBased/>
  <w15:docId w15:val="{7E1FEC94-36A9-4F6A-93E4-B1E394AC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402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402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402BF"/>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402B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402B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A402B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402B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402B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402B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402B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A402B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A402BF"/>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A402B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A402B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A402B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402B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402B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402BF"/>
    <w:rPr>
      <w:rFonts w:eastAsiaTheme="majorEastAsia" w:cstheme="majorBidi"/>
      <w:color w:val="272727" w:themeColor="text1" w:themeTint="D8"/>
    </w:rPr>
  </w:style>
  <w:style w:type="paragraph" w:styleId="Titolo">
    <w:name w:val="Title"/>
    <w:basedOn w:val="Normale"/>
    <w:next w:val="Normale"/>
    <w:link w:val="TitoloCarattere"/>
    <w:uiPriority w:val="10"/>
    <w:qFormat/>
    <w:rsid w:val="00A402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402B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402BF"/>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402B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402BF"/>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402BF"/>
    <w:rPr>
      <w:i/>
      <w:iCs/>
      <w:color w:val="404040" w:themeColor="text1" w:themeTint="BF"/>
    </w:rPr>
  </w:style>
  <w:style w:type="paragraph" w:styleId="Paragrafoelenco">
    <w:name w:val="List Paragraph"/>
    <w:basedOn w:val="Normale"/>
    <w:uiPriority w:val="34"/>
    <w:qFormat/>
    <w:rsid w:val="00A402BF"/>
    <w:pPr>
      <w:ind w:left="720"/>
      <w:contextualSpacing/>
    </w:pPr>
  </w:style>
  <w:style w:type="character" w:styleId="Enfasiintensa">
    <w:name w:val="Intense Emphasis"/>
    <w:basedOn w:val="Carpredefinitoparagrafo"/>
    <w:uiPriority w:val="21"/>
    <w:qFormat/>
    <w:rsid w:val="00A402BF"/>
    <w:rPr>
      <w:i/>
      <w:iCs/>
      <w:color w:val="0F4761" w:themeColor="accent1" w:themeShade="BF"/>
    </w:rPr>
  </w:style>
  <w:style w:type="paragraph" w:styleId="Citazioneintensa">
    <w:name w:val="Intense Quote"/>
    <w:basedOn w:val="Normale"/>
    <w:next w:val="Normale"/>
    <w:link w:val="CitazioneintensaCarattere"/>
    <w:uiPriority w:val="30"/>
    <w:qFormat/>
    <w:rsid w:val="00A402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402BF"/>
    <w:rPr>
      <w:i/>
      <w:iCs/>
      <w:color w:val="0F4761" w:themeColor="accent1" w:themeShade="BF"/>
    </w:rPr>
  </w:style>
  <w:style w:type="character" w:styleId="Riferimentointenso">
    <w:name w:val="Intense Reference"/>
    <w:basedOn w:val="Carpredefinitoparagrafo"/>
    <w:uiPriority w:val="32"/>
    <w:qFormat/>
    <w:rsid w:val="00A402BF"/>
    <w:rPr>
      <w:b/>
      <w:bCs/>
      <w:smallCaps/>
      <w:color w:val="0F4761" w:themeColor="accent1" w:themeShade="BF"/>
      <w:spacing w:val="5"/>
    </w:rPr>
  </w:style>
  <w:style w:type="paragraph" w:styleId="Testonotaapidipagina">
    <w:name w:val="footnote text"/>
    <w:basedOn w:val="Normale"/>
    <w:link w:val="TestonotaapidipaginaCarattere"/>
    <w:uiPriority w:val="99"/>
    <w:semiHidden/>
    <w:unhideWhenUsed/>
    <w:rsid w:val="00332AF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32AF6"/>
    <w:rPr>
      <w:sz w:val="20"/>
      <w:szCs w:val="20"/>
    </w:rPr>
  </w:style>
  <w:style w:type="character" w:styleId="Rimandonotaapidipagina">
    <w:name w:val="footnote reference"/>
    <w:basedOn w:val="Carpredefinitoparagrafo"/>
    <w:uiPriority w:val="99"/>
    <w:semiHidden/>
    <w:unhideWhenUsed/>
    <w:rsid w:val="00332AF6"/>
    <w:rPr>
      <w:vertAlign w:val="superscript"/>
    </w:rPr>
  </w:style>
  <w:style w:type="paragraph" w:styleId="Intestazione">
    <w:name w:val="header"/>
    <w:basedOn w:val="Normale"/>
    <w:link w:val="IntestazioneCarattere"/>
    <w:uiPriority w:val="99"/>
    <w:unhideWhenUsed/>
    <w:rsid w:val="00332AF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32AF6"/>
  </w:style>
  <w:style w:type="paragraph" w:styleId="Pidipagina">
    <w:name w:val="footer"/>
    <w:basedOn w:val="Normale"/>
    <w:link w:val="PidipaginaCarattere"/>
    <w:uiPriority w:val="99"/>
    <w:unhideWhenUsed/>
    <w:rsid w:val="00332AF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32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55253">
      <w:bodyDiv w:val="1"/>
      <w:marLeft w:val="0"/>
      <w:marRight w:val="0"/>
      <w:marTop w:val="0"/>
      <w:marBottom w:val="0"/>
      <w:divBdr>
        <w:top w:val="none" w:sz="0" w:space="0" w:color="auto"/>
        <w:left w:val="none" w:sz="0" w:space="0" w:color="auto"/>
        <w:bottom w:val="none" w:sz="0" w:space="0" w:color="auto"/>
        <w:right w:val="none" w:sz="0" w:space="0" w:color="auto"/>
      </w:divBdr>
    </w:div>
    <w:div w:id="206651609">
      <w:bodyDiv w:val="1"/>
      <w:marLeft w:val="0"/>
      <w:marRight w:val="0"/>
      <w:marTop w:val="0"/>
      <w:marBottom w:val="0"/>
      <w:divBdr>
        <w:top w:val="none" w:sz="0" w:space="0" w:color="auto"/>
        <w:left w:val="none" w:sz="0" w:space="0" w:color="auto"/>
        <w:bottom w:val="none" w:sz="0" w:space="0" w:color="auto"/>
        <w:right w:val="none" w:sz="0" w:space="0" w:color="auto"/>
      </w:divBdr>
    </w:div>
    <w:div w:id="354502763">
      <w:bodyDiv w:val="1"/>
      <w:marLeft w:val="0"/>
      <w:marRight w:val="0"/>
      <w:marTop w:val="0"/>
      <w:marBottom w:val="0"/>
      <w:divBdr>
        <w:top w:val="none" w:sz="0" w:space="0" w:color="auto"/>
        <w:left w:val="none" w:sz="0" w:space="0" w:color="auto"/>
        <w:bottom w:val="none" w:sz="0" w:space="0" w:color="auto"/>
        <w:right w:val="none" w:sz="0" w:space="0" w:color="auto"/>
      </w:divBdr>
    </w:div>
    <w:div w:id="407658290">
      <w:bodyDiv w:val="1"/>
      <w:marLeft w:val="0"/>
      <w:marRight w:val="0"/>
      <w:marTop w:val="0"/>
      <w:marBottom w:val="0"/>
      <w:divBdr>
        <w:top w:val="none" w:sz="0" w:space="0" w:color="auto"/>
        <w:left w:val="none" w:sz="0" w:space="0" w:color="auto"/>
        <w:bottom w:val="none" w:sz="0" w:space="0" w:color="auto"/>
        <w:right w:val="none" w:sz="0" w:space="0" w:color="auto"/>
      </w:divBdr>
    </w:div>
    <w:div w:id="479735890">
      <w:bodyDiv w:val="1"/>
      <w:marLeft w:val="0"/>
      <w:marRight w:val="0"/>
      <w:marTop w:val="0"/>
      <w:marBottom w:val="0"/>
      <w:divBdr>
        <w:top w:val="none" w:sz="0" w:space="0" w:color="auto"/>
        <w:left w:val="none" w:sz="0" w:space="0" w:color="auto"/>
        <w:bottom w:val="none" w:sz="0" w:space="0" w:color="auto"/>
        <w:right w:val="none" w:sz="0" w:space="0" w:color="auto"/>
      </w:divBdr>
    </w:div>
    <w:div w:id="828208325">
      <w:bodyDiv w:val="1"/>
      <w:marLeft w:val="0"/>
      <w:marRight w:val="0"/>
      <w:marTop w:val="0"/>
      <w:marBottom w:val="0"/>
      <w:divBdr>
        <w:top w:val="none" w:sz="0" w:space="0" w:color="auto"/>
        <w:left w:val="none" w:sz="0" w:space="0" w:color="auto"/>
        <w:bottom w:val="none" w:sz="0" w:space="0" w:color="auto"/>
        <w:right w:val="none" w:sz="0" w:space="0" w:color="auto"/>
      </w:divBdr>
    </w:div>
    <w:div w:id="944191762">
      <w:bodyDiv w:val="1"/>
      <w:marLeft w:val="0"/>
      <w:marRight w:val="0"/>
      <w:marTop w:val="0"/>
      <w:marBottom w:val="0"/>
      <w:divBdr>
        <w:top w:val="none" w:sz="0" w:space="0" w:color="auto"/>
        <w:left w:val="none" w:sz="0" w:space="0" w:color="auto"/>
        <w:bottom w:val="none" w:sz="0" w:space="0" w:color="auto"/>
        <w:right w:val="none" w:sz="0" w:space="0" w:color="auto"/>
      </w:divBdr>
    </w:div>
    <w:div w:id="952715492">
      <w:bodyDiv w:val="1"/>
      <w:marLeft w:val="0"/>
      <w:marRight w:val="0"/>
      <w:marTop w:val="0"/>
      <w:marBottom w:val="0"/>
      <w:divBdr>
        <w:top w:val="none" w:sz="0" w:space="0" w:color="auto"/>
        <w:left w:val="none" w:sz="0" w:space="0" w:color="auto"/>
        <w:bottom w:val="none" w:sz="0" w:space="0" w:color="auto"/>
        <w:right w:val="none" w:sz="0" w:space="0" w:color="auto"/>
      </w:divBdr>
    </w:div>
    <w:div w:id="1070232651">
      <w:bodyDiv w:val="1"/>
      <w:marLeft w:val="0"/>
      <w:marRight w:val="0"/>
      <w:marTop w:val="0"/>
      <w:marBottom w:val="0"/>
      <w:divBdr>
        <w:top w:val="none" w:sz="0" w:space="0" w:color="auto"/>
        <w:left w:val="none" w:sz="0" w:space="0" w:color="auto"/>
        <w:bottom w:val="none" w:sz="0" w:space="0" w:color="auto"/>
        <w:right w:val="none" w:sz="0" w:space="0" w:color="auto"/>
      </w:divBdr>
    </w:div>
    <w:div w:id="191577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5E7E2-25AD-4AF7-8C3B-DD9DFFC8A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948</Words>
  <Characters>5409</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Maurizio Mosconi</dc:creator>
  <cp:keywords/>
  <dc:description/>
  <cp:lastModifiedBy>Don Maurizio Mosconi</cp:lastModifiedBy>
  <cp:revision>8</cp:revision>
  <dcterms:created xsi:type="dcterms:W3CDTF">2025-03-10T08:20:00Z</dcterms:created>
  <dcterms:modified xsi:type="dcterms:W3CDTF">2025-03-14T15:03:00Z</dcterms:modified>
</cp:coreProperties>
</file>