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85E32" w14:textId="77777777" w:rsidR="0040182C" w:rsidRPr="00F352A3" w:rsidRDefault="0040182C" w:rsidP="0040182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gency FB" w:eastAsia="Times New Roman" w:hAnsi="Agency FB" w:cs="Segoe UI"/>
          <w:b/>
          <w:color w:val="auto"/>
          <w:szCs w:val="22"/>
        </w:rPr>
      </w:pPr>
      <w:r w:rsidRPr="00F352A3">
        <w:rPr>
          <w:rFonts w:ascii="Agency FB" w:eastAsia="Times New Roman" w:hAnsi="Agency FB" w:cs="Segoe UI"/>
          <w:b/>
          <w:bCs/>
          <w:color w:val="auto"/>
          <w:szCs w:val="22"/>
        </w:rPr>
        <w:t xml:space="preserve">Teologia sistematica dei sacramenti del servizio: </w:t>
      </w:r>
      <w:r w:rsidRPr="00F352A3">
        <w:rPr>
          <w:rFonts w:ascii="Agency FB" w:eastAsia="Times New Roman" w:hAnsi="Agency FB" w:cs="Segoe UI"/>
          <w:b/>
          <w:color w:val="auto"/>
          <w:szCs w:val="22"/>
        </w:rPr>
        <w:t>il matrimonio e l'ordine</w:t>
      </w:r>
    </w:p>
    <w:p w14:paraId="72126DF7" w14:textId="77777777" w:rsidR="005F18F2" w:rsidRPr="0040182C" w:rsidRDefault="0040182C" w:rsidP="0040182C">
      <w:pPr>
        <w:jc w:val="center"/>
      </w:pPr>
      <w:r w:rsidRPr="00F352A3">
        <w:rPr>
          <w:rFonts w:ascii="Agency FB" w:hAnsi="Agency FB" w:cs="Segoe UI"/>
        </w:rPr>
        <w:t>ISSR Milano - Anno Accademico 20</w:t>
      </w:r>
      <w:r w:rsidR="00F935E9">
        <w:rPr>
          <w:rFonts w:ascii="Agency FB" w:hAnsi="Agency FB" w:cs="Segoe UI"/>
        </w:rPr>
        <w:t>24</w:t>
      </w:r>
      <w:r w:rsidRPr="00F352A3">
        <w:rPr>
          <w:rFonts w:ascii="Agency FB" w:hAnsi="Agency FB" w:cs="Segoe UI"/>
        </w:rPr>
        <w:t>-</w:t>
      </w:r>
      <w:r w:rsidR="00F935E9">
        <w:rPr>
          <w:rFonts w:ascii="Agency FB" w:hAnsi="Agency FB" w:cs="Segoe UI"/>
        </w:rPr>
        <w:t>25</w:t>
      </w:r>
      <w:bookmarkStart w:id="0" w:name="_GoBack"/>
      <w:bookmarkEnd w:id="0"/>
      <w:r w:rsidRPr="00F352A3">
        <w:rPr>
          <w:rFonts w:ascii="Agency FB" w:hAnsi="Agency FB" w:cs="Segoe UI"/>
        </w:rPr>
        <w:t xml:space="preserve"> - prof. Paleari Marco - </w:t>
      </w:r>
      <w:hyperlink r:id="rId7" w:history="1">
        <w:r w:rsidRPr="00F352A3">
          <w:rPr>
            <w:rFonts w:ascii="Agency FB" w:hAnsi="Agency FB" w:cs="Segoe UI"/>
            <w:color w:val="0000FF"/>
            <w:u w:val="single"/>
          </w:rPr>
          <w:t>www.seitreseiuno.net</w:t>
        </w:r>
      </w:hyperlink>
      <w:r w:rsidRPr="00F352A3">
        <w:rPr>
          <w:rFonts w:ascii="Agency FB" w:hAnsi="Agency FB" w:cs="Segoe UI"/>
        </w:rPr>
        <w:t xml:space="preserve"> - </w:t>
      </w:r>
      <w:hyperlink r:id="rId8" w:history="1">
        <w:r w:rsidRPr="00F352A3">
          <w:rPr>
            <w:rFonts w:ascii="Agency FB" w:hAnsi="Agency FB" w:cs="Segoe UI"/>
            <w:color w:val="0000FF"/>
            <w:u w:val="single"/>
          </w:rPr>
          <w:t>paleari.marco@gmail.com</w:t>
        </w:r>
      </w:hyperlink>
    </w:p>
    <w:p w14:paraId="481199B6" w14:textId="77777777" w:rsidR="00125B08" w:rsidRPr="0040182C" w:rsidRDefault="00125B08" w:rsidP="0040182C"/>
    <w:p w14:paraId="6642B40E" w14:textId="77777777" w:rsidR="00125B08" w:rsidRPr="00287CE3" w:rsidRDefault="00125B08" w:rsidP="005F18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mbria" w:eastAsia="Calibri" w:hAnsi="Cambria" w:cs="Calibri"/>
          <w:b/>
          <w:bCs/>
          <w:sz w:val="28"/>
          <w:szCs w:val="28"/>
        </w:rPr>
      </w:pPr>
      <w:r w:rsidRPr="00287CE3">
        <w:rPr>
          <w:rFonts w:ascii="Cambria" w:eastAsia="Calibri" w:hAnsi="Cambria" w:cs="Calibri"/>
          <w:b/>
          <w:bCs/>
          <w:sz w:val="28"/>
          <w:szCs w:val="28"/>
        </w:rPr>
        <w:t>5.2 Vladimir Solov’ëv – Pavel Evdokimov - Giovanni Paolo II</w:t>
      </w:r>
    </w:p>
    <w:p w14:paraId="28026E3B" w14:textId="77777777" w:rsidR="00125B08" w:rsidRPr="0040182C" w:rsidRDefault="00125B08" w:rsidP="0040182C"/>
    <w:p w14:paraId="004B8B8E" w14:textId="77777777" w:rsidR="00125B08" w:rsidRPr="00287CE3" w:rsidRDefault="00125B08" w:rsidP="0040182C">
      <w:pPr>
        <w:rPr>
          <w:rFonts w:ascii="Cambria" w:hAnsi="Cambria"/>
          <w:b/>
        </w:rPr>
      </w:pPr>
      <w:r w:rsidRPr="00287CE3">
        <w:rPr>
          <w:rFonts w:ascii="Cambria" w:hAnsi="Cambria"/>
          <w:b/>
        </w:rPr>
        <w:t xml:space="preserve">V. Solov’ëv (1853-1900) e </w:t>
      </w:r>
      <w:r w:rsidRPr="00287CE3">
        <w:rPr>
          <w:rFonts w:ascii="Cambria" w:hAnsi="Cambria"/>
          <w:b/>
          <w:i/>
          <w:iCs/>
        </w:rPr>
        <w:t xml:space="preserve">Il significato dell’amore </w:t>
      </w:r>
      <w:r w:rsidRPr="00287CE3">
        <w:rPr>
          <w:rFonts w:ascii="Cambria" w:hAnsi="Cambria"/>
          <w:b/>
        </w:rPr>
        <w:t>(1892-1894)</w:t>
      </w:r>
    </w:p>
    <w:p w14:paraId="6D3569F3" w14:textId="77777777" w:rsidR="00125B08" w:rsidRPr="0040182C" w:rsidRDefault="00125B08" w:rsidP="0040182C"/>
    <w:p w14:paraId="352E854B" w14:textId="77777777" w:rsidR="00125B08" w:rsidRDefault="00125B08">
      <w:pPr>
        <w:numPr>
          <w:ilvl w:val="0"/>
          <w:numId w:val="1"/>
        </w:numPr>
        <w:tabs>
          <w:tab w:val="num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dignità della creatura umana</w:t>
      </w:r>
    </w:p>
    <w:p w14:paraId="54BC5367" w14:textId="77777777" w:rsidR="00125B08" w:rsidRDefault="00125B08">
      <w:pPr>
        <w:numPr>
          <w:ilvl w:val="0"/>
          <w:numId w:val="1"/>
        </w:numPr>
        <w:tabs>
          <w:tab w:val="num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L’amore sessuale</w:t>
      </w:r>
    </w:p>
    <w:p w14:paraId="57D8895B" w14:textId="77777777" w:rsidR="00125B08" w:rsidRDefault="00125B08">
      <w:pPr>
        <w:numPr>
          <w:ilvl w:val="0"/>
          <w:numId w:val="1"/>
        </w:numPr>
        <w:tabs>
          <w:tab w:val="num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derive dell’eros</w:t>
      </w:r>
    </w:p>
    <w:p w14:paraId="291A5A53" w14:textId="77777777" w:rsidR="00125B08" w:rsidRDefault="00125B08">
      <w:pPr>
        <w:numPr>
          <w:ilvl w:val="0"/>
          <w:numId w:val="1"/>
        </w:numPr>
        <w:tabs>
          <w:tab w:val="num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compito di reintegrare l’unità</w:t>
      </w:r>
    </w:p>
    <w:p w14:paraId="7307FC10" w14:textId="77777777" w:rsidR="00125B08" w:rsidRDefault="00125B08">
      <w:pPr>
        <w:numPr>
          <w:ilvl w:val="0"/>
          <w:numId w:val="1"/>
        </w:numPr>
        <w:tabs>
          <w:tab w:val="num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Amore sessuale e comunione trinitaria</w:t>
      </w:r>
    </w:p>
    <w:p w14:paraId="145DF0D2" w14:textId="77777777" w:rsidR="00125B08" w:rsidRDefault="00125B08">
      <w:pPr>
        <w:ind w:left="720"/>
        <w:rPr>
          <w:rFonts w:ascii="Calibri" w:eastAsia="Calibri" w:hAnsi="Calibri" w:cs="Calibri"/>
        </w:rPr>
      </w:pPr>
    </w:p>
    <w:p w14:paraId="72EC5744" w14:textId="77777777" w:rsidR="00125B08" w:rsidRDefault="00125B08">
      <w:pPr>
        <w:numPr>
          <w:ilvl w:val="0"/>
          <w:numId w:val="1"/>
        </w:numPr>
        <w:tabs>
          <w:tab w:val="num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Amore sessuale e scelta del coniuge</w:t>
      </w:r>
    </w:p>
    <w:p w14:paraId="6FDCC7A2" w14:textId="77777777" w:rsidR="00125B08" w:rsidRDefault="00125B08">
      <w:pPr>
        <w:numPr>
          <w:ilvl w:val="0"/>
          <w:numId w:val="1"/>
        </w:numPr>
        <w:tabs>
          <w:tab w:val="num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Matrimonio e martirio</w:t>
      </w:r>
    </w:p>
    <w:p w14:paraId="03E37C7B" w14:textId="77777777" w:rsidR="00125B08" w:rsidRDefault="00125B08">
      <w:pPr>
        <w:numPr>
          <w:ilvl w:val="0"/>
          <w:numId w:val="1"/>
        </w:numPr>
        <w:tabs>
          <w:tab w:val="num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coppia vuole e favorisce l’integrazione nel sociale, nel mondo intero</w:t>
      </w:r>
    </w:p>
    <w:p w14:paraId="492B1A14" w14:textId="77777777" w:rsidR="00125B08" w:rsidRPr="0040182C" w:rsidRDefault="00125B08" w:rsidP="0040182C"/>
    <w:p w14:paraId="15944F3B" w14:textId="77777777" w:rsidR="00125B08" w:rsidRPr="0040182C" w:rsidRDefault="00125B08" w:rsidP="0040182C"/>
    <w:p w14:paraId="75B0355D" w14:textId="77777777" w:rsidR="00125B08" w:rsidRPr="00287CE3" w:rsidRDefault="00125B08" w:rsidP="0040182C">
      <w:pPr>
        <w:rPr>
          <w:rFonts w:ascii="Cambria" w:hAnsi="Cambria"/>
          <w:b/>
        </w:rPr>
      </w:pPr>
      <w:r w:rsidRPr="00287CE3">
        <w:rPr>
          <w:rFonts w:ascii="Cambria" w:hAnsi="Cambria"/>
          <w:b/>
        </w:rPr>
        <w:t>P. Evdokimov (1901-1970) e Sacramento dell’amore (1962)</w:t>
      </w:r>
    </w:p>
    <w:p w14:paraId="03FC3410" w14:textId="77777777" w:rsidR="00125B08" w:rsidRPr="0040182C" w:rsidRDefault="00125B08" w:rsidP="0040182C"/>
    <w:p w14:paraId="7D660647" w14:textId="77777777" w:rsidR="00125B08" w:rsidRDefault="00125B08">
      <w:pPr>
        <w:numPr>
          <w:ilvl w:val="0"/>
          <w:numId w:val="2"/>
        </w:numPr>
        <w:tabs>
          <w:tab w:val="num" w:pos="720"/>
        </w:tabs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L’anelito all’unità</w:t>
      </w:r>
    </w:p>
    <w:p w14:paraId="4E0BC209" w14:textId="77777777" w:rsidR="00125B08" w:rsidRDefault="00125B08">
      <w:pPr>
        <w:numPr>
          <w:ilvl w:val="0"/>
          <w:numId w:val="2"/>
        </w:numPr>
        <w:tabs>
          <w:tab w:val="num" w:pos="720"/>
        </w:tabs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metodo e lo stile: contemplare il Mistero</w:t>
      </w:r>
    </w:p>
    <w:p w14:paraId="341FB102" w14:textId="77777777" w:rsidR="00125B08" w:rsidRDefault="00125B08">
      <w:pPr>
        <w:numPr>
          <w:ilvl w:val="0"/>
          <w:numId w:val="2"/>
        </w:numPr>
        <w:tabs>
          <w:tab w:val="num" w:pos="720"/>
        </w:tabs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L’amore sessuale e la Trinità</w:t>
      </w:r>
    </w:p>
    <w:p w14:paraId="3ED6561F" w14:textId="77777777" w:rsidR="00125B08" w:rsidRDefault="00125B08">
      <w:pPr>
        <w:numPr>
          <w:ilvl w:val="0"/>
          <w:numId w:val="2"/>
        </w:numPr>
        <w:tabs>
          <w:tab w:val="num" w:pos="720"/>
        </w:tabs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L’eros e la nostalgia della comunione</w:t>
      </w:r>
    </w:p>
    <w:p w14:paraId="3FB2A62C" w14:textId="77777777" w:rsidR="00125B08" w:rsidRDefault="00125B08">
      <w:pPr>
        <w:numPr>
          <w:ilvl w:val="0"/>
          <w:numId w:val="2"/>
        </w:numPr>
        <w:tabs>
          <w:tab w:val="num" w:pos="720"/>
        </w:tabs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dimensione escatologica dell’amore coniugale</w:t>
      </w:r>
    </w:p>
    <w:p w14:paraId="439DC7B1" w14:textId="77777777" w:rsidR="00125B08" w:rsidRDefault="00125B08">
      <w:pPr>
        <w:ind w:left="720"/>
        <w:jc w:val="left"/>
        <w:rPr>
          <w:rFonts w:ascii="Calibri" w:eastAsia="Calibri" w:hAnsi="Calibri" w:cs="Calibri"/>
        </w:rPr>
      </w:pPr>
    </w:p>
    <w:p w14:paraId="1702A5BF" w14:textId="77777777" w:rsidR="00125B08" w:rsidRDefault="00125B08">
      <w:pPr>
        <w:numPr>
          <w:ilvl w:val="0"/>
          <w:numId w:val="2"/>
        </w:numPr>
        <w:tabs>
          <w:tab w:val="num" w:pos="720"/>
        </w:tabs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«sacerdozio coniugale»</w:t>
      </w:r>
    </w:p>
    <w:p w14:paraId="5B9D5F0F" w14:textId="77777777" w:rsidR="00125B08" w:rsidRDefault="00125B08">
      <w:pPr>
        <w:numPr>
          <w:ilvl w:val="0"/>
          <w:numId w:val="2"/>
        </w:numPr>
        <w:tabs>
          <w:tab w:val="num" w:pos="720"/>
        </w:tabs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Anamnesi amorosa e profezia</w:t>
      </w:r>
    </w:p>
    <w:p w14:paraId="3F54B803" w14:textId="77777777" w:rsidR="00125B08" w:rsidRDefault="00125B08">
      <w:pPr>
        <w:numPr>
          <w:ilvl w:val="0"/>
          <w:numId w:val="2"/>
        </w:numPr>
        <w:tabs>
          <w:tab w:val="num" w:pos="720"/>
        </w:tabs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L’ascesi dell’amore</w:t>
      </w:r>
    </w:p>
    <w:p w14:paraId="302424B5" w14:textId="77777777" w:rsidR="00125B08" w:rsidRDefault="00125B08">
      <w:pPr>
        <w:numPr>
          <w:ilvl w:val="0"/>
          <w:numId w:val="2"/>
        </w:numPr>
        <w:tabs>
          <w:tab w:val="num" w:pos="720"/>
        </w:tabs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Atto coniugale e Trinità</w:t>
      </w:r>
    </w:p>
    <w:p w14:paraId="75A0F085" w14:textId="77777777" w:rsidR="00125B08" w:rsidRDefault="00125B08">
      <w:pPr>
        <w:numPr>
          <w:ilvl w:val="0"/>
          <w:numId w:val="2"/>
        </w:numPr>
        <w:tabs>
          <w:tab w:val="num" w:pos="720"/>
        </w:tabs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Matrimonio e verginità</w:t>
      </w:r>
    </w:p>
    <w:p w14:paraId="3A380412" w14:textId="77777777" w:rsidR="00125B08" w:rsidRPr="0040182C" w:rsidRDefault="00125B08" w:rsidP="0040182C"/>
    <w:p w14:paraId="1200F3CB" w14:textId="77777777" w:rsidR="00125B08" w:rsidRPr="0040182C" w:rsidRDefault="00125B08" w:rsidP="0040182C"/>
    <w:p w14:paraId="499570A3" w14:textId="77777777" w:rsidR="00125B08" w:rsidRPr="00287CE3" w:rsidRDefault="00125B08" w:rsidP="0040182C">
      <w:pPr>
        <w:rPr>
          <w:rFonts w:ascii="Cambria" w:hAnsi="Cambria"/>
          <w:b/>
        </w:rPr>
      </w:pPr>
      <w:r w:rsidRPr="00287CE3">
        <w:rPr>
          <w:rFonts w:ascii="Cambria" w:hAnsi="Cambria"/>
          <w:b/>
        </w:rPr>
        <w:t>Le «catechesi sull’amore umano» di Giovanni Paolo II</w:t>
      </w:r>
    </w:p>
    <w:p w14:paraId="050EF868" w14:textId="77777777" w:rsidR="00125B08" w:rsidRPr="0040182C" w:rsidRDefault="00125B08" w:rsidP="0040182C">
      <w:r w:rsidRPr="0040182C">
        <w:tab/>
      </w:r>
    </w:p>
    <w:p w14:paraId="2A5C636E" w14:textId="77777777" w:rsidR="00125B08" w:rsidRDefault="00125B08">
      <w:p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1. Il riferimento al «principio»</w:t>
      </w:r>
    </w:p>
    <w:p w14:paraId="355F4EE6" w14:textId="77777777" w:rsidR="00125B08" w:rsidRDefault="00125B08">
      <w:p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2. L’eros nella linea della teologia della corporeità</w:t>
      </w:r>
    </w:p>
    <w:p w14:paraId="2462A286" w14:textId="77777777" w:rsidR="00125B08" w:rsidRDefault="00125B08">
      <w:p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3. La «disumanizzazione» dell’eros</w:t>
      </w:r>
    </w:p>
    <w:p w14:paraId="7701C7C4" w14:textId="77777777" w:rsidR="00125B08" w:rsidRDefault="00125B08">
      <w:p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4. La forza simbolico-escatologica dell’eros</w:t>
      </w:r>
    </w:p>
    <w:p w14:paraId="1A59A949" w14:textId="77777777" w:rsidR="00125B08" w:rsidRDefault="00125B08">
      <w:pPr>
        <w:jc w:val="left"/>
        <w:rPr>
          <w:rFonts w:ascii="Calibri" w:eastAsia="Calibri" w:hAnsi="Calibri" w:cs="Calibri"/>
        </w:rPr>
      </w:pPr>
    </w:p>
    <w:p w14:paraId="7CC00B64" w14:textId="77777777" w:rsidR="00125B08" w:rsidRDefault="00125B08">
      <w:p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5. L’accoglienza della persona amata</w:t>
      </w:r>
    </w:p>
    <w:p w14:paraId="6E81EC2B" w14:textId="77777777" w:rsidR="00125B08" w:rsidRDefault="00125B08">
      <w:p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6. Eros ed ethos</w:t>
      </w:r>
    </w:p>
    <w:p w14:paraId="094E1CBE" w14:textId="77777777" w:rsidR="00125B08" w:rsidRDefault="00125B08">
      <w:p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7. Corpo e sacramento</w:t>
      </w:r>
    </w:p>
    <w:p w14:paraId="14B166E3" w14:textId="77777777" w:rsidR="00125B08" w:rsidRDefault="00125B08">
      <w:p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8. Il «fondamento di tutto l’ordine sacramentale»</w:t>
      </w:r>
    </w:p>
    <w:p w14:paraId="74C4DF57" w14:textId="77777777" w:rsidR="00125B08" w:rsidRDefault="00125B08">
      <w:p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9. Vocazione coniugale e vocazione religiosa</w:t>
      </w:r>
    </w:p>
    <w:p w14:paraId="3FB8F462" w14:textId="77777777" w:rsidR="00125B08" w:rsidRDefault="00125B08">
      <w:pPr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10. Escatologia della comunione</w:t>
      </w:r>
    </w:p>
    <w:p w14:paraId="35841D1B" w14:textId="77777777" w:rsidR="00125B08" w:rsidRDefault="00125B08">
      <w:pPr>
        <w:jc w:val="left"/>
        <w:rPr>
          <w:rFonts w:ascii="Calibri" w:eastAsia="Calibri" w:hAnsi="Calibri" w:cs="Calibri"/>
        </w:rPr>
      </w:pPr>
    </w:p>
    <w:p w14:paraId="285D75EB" w14:textId="77777777" w:rsidR="00125B08" w:rsidRDefault="00125B08">
      <w:pPr>
        <w:jc w:val="left"/>
        <w:rPr>
          <w:rFonts w:ascii="Calibri" w:eastAsia="Calibri" w:hAnsi="Calibri" w:cs="Calibri"/>
        </w:rPr>
      </w:pPr>
    </w:p>
    <w:sectPr w:rsidR="00125B08">
      <w:footerReference w:type="default" r:id="rId9"/>
      <w:pgSz w:w="11906" w:h="16838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E35E0" w14:textId="77777777" w:rsidR="00610591" w:rsidRDefault="00610591">
      <w:r>
        <w:separator/>
      </w:r>
    </w:p>
  </w:endnote>
  <w:endnote w:type="continuationSeparator" w:id="0">
    <w:p w14:paraId="536406FF" w14:textId="77777777" w:rsidR="00610591" w:rsidRDefault="0061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86269" w14:textId="77777777" w:rsidR="00125B08" w:rsidRPr="000A3E95" w:rsidRDefault="000A3E95" w:rsidP="000A3E95">
    <w:pPr>
      <w:pStyle w:val="Pidipagina"/>
      <w:jc w:val="center"/>
      <w:rPr>
        <w:rFonts w:ascii="Calibri" w:hAnsi="Calibri"/>
        <w:sz w:val="20"/>
      </w:rPr>
    </w:pPr>
    <w:r w:rsidRPr="00D03D5F">
      <w:rPr>
        <w:rFonts w:ascii="Calibri" w:hAnsi="Calibri"/>
        <w:b/>
        <w:sz w:val="20"/>
      </w:rPr>
      <w:t>M</w:t>
    </w:r>
    <w:r>
      <w:rPr>
        <w:rFonts w:ascii="Calibri" w:hAnsi="Calibri"/>
        <w:b/>
        <w:sz w:val="20"/>
      </w:rPr>
      <w:t>atrimonio - 5</w:t>
    </w:r>
    <w:r w:rsidRPr="00D03D5F">
      <w:rPr>
        <w:rFonts w:ascii="Calibri" w:hAnsi="Calibri"/>
        <w:b/>
        <w:sz w:val="20"/>
      </w:rPr>
      <w:t>.</w:t>
    </w:r>
    <w:r>
      <w:rPr>
        <w:rFonts w:ascii="Calibri" w:hAnsi="Calibri"/>
        <w:b/>
        <w:sz w:val="20"/>
      </w:rPr>
      <w:t>2</w:t>
    </w:r>
    <w:r w:rsidRPr="00D03D5F">
      <w:rPr>
        <w:rFonts w:ascii="Calibri" w:hAnsi="Calibri"/>
        <w:b/>
        <w:sz w:val="20"/>
      </w:rPr>
      <w:t xml:space="preserve"> -</w:t>
    </w:r>
    <w:r w:rsidRPr="002D0797">
      <w:rPr>
        <w:rFonts w:ascii="Calibri" w:hAnsi="Calibri"/>
        <w:sz w:val="20"/>
      </w:rPr>
      <w:t xml:space="preserve"> </w:t>
    </w:r>
    <w:r w:rsidRPr="002D0797">
      <w:rPr>
        <w:rFonts w:ascii="Calibri" w:hAnsi="Calibri"/>
        <w:bCs/>
        <w:sz w:val="20"/>
      </w:rPr>
      <w:fldChar w:fldCharType="begin"/>
    </w:r>
    <w:r w:rsidRPr="002D0797">
      <w:rPr>
        <w:rFonts w:ascii="Calibri" w:hAnsi="Calibri"/>
        <w:bCs/>
        <w:sz w:val="20"/>
      </w:rPr>
      <w:instrText>PAGE</w:instrText>
    </w:r>
    <w:r w:rsidRPr="002D0797">
      <w:rPr>
        <w:rFonts w:ascii="Calibri" w:hAnsi="Calibri"/>
        <w:bCs/>
        <w:sz w:val="20"/>
      </w:rPr>
      <w:fldChar w:fldCharType="separate"/>
    </w:r>
    <w:r w:rsidR="00E13B6C">
      <w:rPr>
        <w:rFonts w:ascii="Calibri" w:hAnsi="Calibri"/>
        <w:bCs/>
        <w:noProof/>
        <w:sz w:val="20"/>
      </w:rPr>
      <w:t>1</w:t>
    </w:r>
    <w:r w:rsidRPr="002D0797">
      <w:rPr>
        <w:rFonts w:ascii="Calibri" w:hAnsi="Calibri"/>
        <w:bCs/>
        <w:sz w:val="20"/>
      </w:rPr>
      <w:fldChar w:fldCharType="end"/>
    </w:r>
    <w:r w:rsidRPr="002D0797">
      <w:rPr>
        <w:rFonts w:ascii="Calibri" w:hAnsi="Calibri"/>
        <w:sz w:val="20"/>
      </w:rPr>
      <w:t xml:space="preserve"> di </w:t>
    </w:r>
    <w:r w:rsidRPr="002D0797">
      <w:rPr>
        <w:rFonts w:ascii="Calibri" w:hAnsi="Calibri"/>
        <w:bCs/>
        <w:sz w:val="20"/>
      </w:rPr>
      <w:fldChar w:fldCharType="begin"/>
    </w:r>
    <w:r w:rsidRPr="002D0797">
      <w:rPr>
        <w:rFonts w:ascii="Calibri" w:hAnsi="Calibri"/>
        <w:bCs/>
        <w:sz w:val="20"/>
      </w:rPr>
      <w:instrText>NUMPAGES</w:instrText>
    </w:r>
    <w:r w:rsidRPr="002D0797">
      <w:rPr>
        <w:rFonts w:ascii="Calibri" w:hAnsi="Calibri"/>
        <w:bCs/>
        <w:sz w:val="20"/>
      </w:rPr>
      <w:fldChar w:fldCharType="separate"/>
    </w:r>
    <w:r w:rsidR="00E13B6C">
      <w:rPr>
        <w:rFonts w:ascii="Calibri" w:hAnsi="Calibri"/>
        <w:bCs/>
        <w:noProof/>
        <w:sz w:val="20"/>
      </w:rPr>
      <w:t>1</w:t>
    </w:r>
    <w:r w:rsidRPr="002D0797">
      <w:rPr>
        <w:rFonts w:ascii="Calibri" w:hAnsi="Calibri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16B29" w14:textId="77777777" w:rsidR="00610591" w:rsidRDefault="00610591">
      <w:r>
        <w:separator/>
      </w:r>
    </w:p>
  </w:footnote>
  <w:footnote w:type="continuationSeparator" w:id="0">
    <w:p w14:paraId="64336C36" w14:textId="77777777" w:rsidR="00610591" w:rsidRDefault="00610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C3C3DBA"/>
    <w:lvl w:ilvl="0" w:tplc="B0448D0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 w:hint="default"/>
        <w:b w:val="0"/>
        <w:bCs w:val="0"/>
        <w:i w:val="0"/>
        <w:iCs w:val="0"/>
        <w:strike w:val="0"/>
        <w:color w:val="000000"/>
        <w:sz w:val="24"/>
        <w:szCs w:val="20"/>
        <w:u w:val="none"/>
      </w:rPr>
    </w:lvl>
    <w:lvl w:ilvl="1" w:tplc="A6DE01E8">
      <w:start w:val="1"/>
      <w:numFmt w:val="lowerLetter"/>
      <w:lvlText w:val="%2."/>
      <w:lvlJc w:val="left"/>
      <w:pPr>
        <w:tabs>
          <w:tab w:val="num" w:pos="0"/>
        </w:tabs>
        <w:ind w:left="1069" w:firstLine="1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B2CF2F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4A216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554B59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88B3F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7EC689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C52D7A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94CB4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hybridMultilevel"/>
    <w:tmpl w:val="A1A0222A"/>
    <w:lvl w:ilvl="0" w:tplc="224ACFA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 w:hint="default"/>
        <w:b w:val="0"/>
        <w:bCs w:val="0"/>
        <w:i w:val="0"/>
        <w:iCs w:val="0"/>
        <w:strike w:val="0"/>
        <w:color w:val="000000"/>
        <w:sz w:val="24"/>
        <w:szCs w:val="20"/>
        <w:u w:val="none"/>
      </w:rPr>
    </w:lvl>
    <w:lvl w:ilvl="1" w:tplc="BD04CC3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5F6D55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1FC0D4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08794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75E9D9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CD89EE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5725FD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8EA04F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3E95"/>
    <w:rsid w:val="00125B08"/>
    <w:rsid w:val="002835F1"/>
    <w:rsid w:val="00287CE3"/>
    <w:rsid w:val="003F5538"/>
    <w:rsid w:val="0040182C"/>
    <w:rsid w:val="005F18F2"/>
    <w:rsid w:val="00610591"/>
    <w:rsid w:val="00750E1D"/>
    <w:rsid w:val="00A769E6"/>
    <w:rsid w:val="00A77B3E"/>
    <w:rsid w:val="00AB7F68"/>
    <w:rsid w:val="00C91489"/>
    <w:rsid w:val="00E13B6C"/>
    <w:rsid w:val="00E91F7F"/>
    <w:rsid w:val="00F935E9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21941"/>
  <w15:docId w15:val="{FE07D0D3-A1F4-4F1E-B03C-0A44D3C9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284"/>
      </w:tabs>
      <w:jc w:val="both"/>
    </w:pPr>
    <w:rPr>
      <w:rFonts w:ascii="Garamond" w:eastAsia="Garamond" w:hAnsi="Garamond" w:cs="Garamond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next w:val="Normale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A3E95"/>
    <w:pPr>
      <w:tabs>
        <w:tab w:val="clear" w:pos="284"/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A3E95"/>
    <w:rPr>
      <w:rFonts w:ascii="Garamond" w:eastAsia="Garamond" w:hAnsi="Garamond" w:cs="Garamond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A3E95"/>
    <w:pPr>
      <w:tabs>
        <w:tab w:val="clear" w:pos="284"/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3E95"/>
    <w:rPr>
      <w:rFonts w:ascii="Garamond" w:eastAsia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eari.marc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itreseiuno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Marco Paleari</cp:lastModifiedBy>
  <cp:revision>4</cp:revision>
  <cp:lastPrinted>2024-11-08T11:54:00Z</cp:lastPrinted>
  <dcterms:created xsi:type="dcterms:W3CDTF">2024-11-08T11:53:00Z</dcterms:created>
  <dcterms:modified xsi:type="dcterms:W3CDTF">2024-11-08T11:55:00Z</dcterms:modified>
</cp:coreProperties>
</file>