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D1158" w14:textId="77777777" w:rsidR="009A2A2D" w:rsidRDefault="009A2A2D">
      <w:r>
        <w:t>Il corso si basa sul seguente manuale, che si consiglia di leggere integralmente.</w:t>
      </w:r>
    </w:p>
    <w:p w14:paraId="73A71470" w14:textId="4805FBCA" w:rsidR="009A2A2D" w:rsidRPr="009A2A2D" w:rsidRDefault="009A2A2D">
      <w:r>
        <w:rPr>
          <w:i/>
          <w:iCs/>
        </w:rPr>
        <w:t xml:space="preserve">Manuale di storia della Chiesa IV: l’epoca contemporanea. Dalla </w:t>
      </w:r>
      <w:proofErr w:type="gramStart"/>
      <w:r>
        <w:rPr>
          <w:i/>
          <w:iCs/>
        </w:rPr>
        <w:t>rivoluzione francese</w:t>
      </w:r>
      <w:proofErr w:type="gramEnd"/>
      <w:r>
        <w:rPr>
          <w:i/>
          <w:iCs/>
        </w:rPr>
        <w:t xml:space="preserve"> al Vaticano II e alla sua ricezione (1789-2022)</w:t>
      </w:r>
      <w:r>
        <w:t>, a cura di S. Xeres, Brescia: Morcelliana 2022 (nuova edizione aggiornata)</w:t>
      </w:r>
    </w:p>
    <w:p w14:paraId="41988451" w14:textId="5D4C1055" w:rsidR="00927779" w:rsidRDefault="009A2A2D">
      <w:r>
        <w:t>I riferimenti delle lezioni qui di seguito riportati</w:t>
      </w:r>
      <w:r w:rsidR="00C97DDC">
        <w:t xml:space="preserve"> (in </w:t>
      </w:r>
      <w:r w:rsidR="00C97DDC">
        <w:rPr>
          <w:b/>
          <w:bCs/>
        </w:rPr>
        <w:t>grassetto</w:t>
      </w:r>
      <w:r w:rsidR="00C97DDC">
        <w:t>)</w:t>
      </w:r>
      <w:r>
        <w:t xml:space="preserve"> permettono di seguire il testo del manuale seguendo il percorso delle lezioni frontali in aula</w:t>
      </w:r>
    </w:p>
    <w:p w14:paraId="1DD6214F" w14:textId="3C218E22" w:rsidR="009A2A2D" w:rsidRDefault="00B47241" w:rsidP="00B47241">
      <w:pPr>
        <w:pStyle w:val="Paragrafoelenco"/>
        <w:numPr>
          <w:ilvl w:val="0"/>
          <w:numId w:val="1"/>
        </w:numPr>
      </w:pPr>
      <w:r>
        <w:t>I caratteri della Chiesa del XIX e XX secolo (lezione introduttiva)</w:t>
      </w:r>
    </w:p>
    <w:p w14:paraId="05D3B295" w14:textId="3CE86EC0" w:rsidR="00B47241" w:rsidRDefault="00B47241" w:rsidP="00B47241">
      <w:pPr>
        <w:pStyle w:val="Paragrafoelenco"/>
        <w:numPr>
          <w:ilvl w:val="0"/>
          <w:numId w:val="1"/>
        </w:numPr>
      </w:pPr>
      <w:r>
        <w:t xml:space="preserve">L’espansione del cristianesimo nel XIX secolo e la resilienza delle missioni cattoliche; </w:t>
      </w:r>
      <w:proofErr w:type="spellStart"/>
      <w:r>
        <w:t>migrazieni</w:t>
      </w:r>
      <w:proofErr w:type="spellEnd"/>
      <w:r>
        <w:t xml:space="preserve"> ed espansione del cattolicesimo nei secoli XIX e XX </w:t>
      </w:r>
      <w:r w:rsidRPr="00C97DDC">
        <w:rPr>
          <w:b/>
          <w:bCs/>
        </w:rPr>
        <w:t>(capitolo 2</w:t>
      </w:r>
      <w:r>
        <w:t>)</w:t>
      </w:r>
    </w:p>
    <w:p w14:paraId="6CB593F3" w14:textId="00FFC132" w:rsidR="00B47241" w:rsidRDefault="00B47241" w:rsidP="00B47241">
      <w:pPr>
        <w:pStyle w:val="Paragrafoelenco"/>
        <w:numPr>
          <w:ilvl w:val="0"/>
          <w:numId w:val="1"/>
        </w:numPr>
      </w:pPr>
      <w:r>
        <w:t xml:space="preserve">Chiesa e </w:t>
      </w:r>
      <w:proofErr w:type="gramStart"/>
      <w:r>
        <w:t>rivoluzione francese</w:t>
      </w:r>
      <w:proofErr w:type="gramEnd"/>
      <w:r>
        <w:t xml:space="preserve"> (</w:t>
      </w:r>
      <w:r w:rsidRPr="00C97DDC">
        <w:rPr>
          <w:b/>
          <w:bCs/>
        </w:rPr>
        <w:t>capitolo 1</w:t>
      </w:r>
      <w:r>
        <w:t>)</w:t>
      </w:r>
    </w:p>
    <w:p w14:paraId="080A3267" w14:textId="64F10116" w:rsidR="00B47241" w:rsidRDefault="00B47241" w:rsidP="00B47241">
      <w:pPr>
        <w:pStyle w:val="Paragrafoelenco"/>
        <w:numPr>
          <w:ilvl w:val="0"/>
          <w:numId w:val="1"/>
        </w:numPr>
      </w:pPr>
      <w:r>
        <w:t>Dalla Chiesa pilastro della società alla separazione (</w:t>
      </w:r>
      <w:r w:rsidRPr="00C97DDC">
        <w:rPr>
          <w:b/>
          <w:bCs/>
        </w:rPr>
        <w:t>capitolo 3 e 4 paragrafi 16-19; 23-24</w:t>
      </w:r>
      <w:r w:rsidR="003A5E6A" w:rsidRPr="00C97DDC">
        <w:rPr>
          <w:b/>
          <w:bCs/>
        </w:rPr>
        <w:t>; 27; 29-30</w:t>
      </w:r>
      <w:r>
        <w:t>)</w:t>
      </w:r>
    </w:p>
    <w:p w14:paraId="2B102F97" w14:textId="2D699498" w:rsidR="00B47241" w:rsidRDefault="00B47241" w:rsidP="00B47241">
      <w:pPr>
        <w:pStyle w:val="Paragrafoelenco"/>
        <w:numPr>
          <w:ilvl w:val="0"/>
          <w:numId w:val="1"/>
        </w:numPr>
      </w:pPr>
      <w:r>
        <w:t xml:space="preserve">Pensiero cattolico e teologia nel XIX secolo – la Chiesa e il </w:t>
      </w:r>
      <w:proofErr w:type="gramStart"/>
      <w:r>
        <w:t>risorgimento</w:t>
      </w:r>
      <w:proofErr w:type="gramEnd"/>
      <w:r>
        <w:t xml:space="preserve"> italiano</w:t>
      </w:r>
      <w:r w:rsidR="003A5E6A">
        <w:t xml:space="preserve"> – il concilio Vaticano I </w:t>
      </w:r>
      <w:r>
        <w:t xml:space="preserve"> (</w:t>
      </w:r>
      <w:r w:rsidRPr="00C97DDC">
        <w:rPr>
          <w:b/>
          <w:bCs/>
        </w:rPr>
        <w:t>capitolo 3 e 4 paragrafi 20-22; 25-26</w:t>
      </w:r>
      <w:r w:rsidR="003A5E6A" w:rsidRPr="00C97DDC">
        <w:rPr>
          <w:b/>
          <w:bCs/>
        </w:rPr>
        <w:t>; 28</w:t>
      </w:r>
      <w:r>
        <w:t>)</w:t>
      </w:r>
    </w:p>
    <w:p w14:paraId="44312F08" w14:textId="6AAE7A61" w:rsidR="003A5E6A" w:rsidRDefault="003A5E6A" w:rsidP="00B47241">
      <w:pPr>
        <w:pStyle w:val="Paragrafoelenco"/>
        <w:numPr>
          <w:ilvl w:val="0"/>
          <w:numId w:val="1"/>
        </w:numPr>
      </w:pPr>
      <w:r>
        <w:t>Il passaggio tra i due secoli: riforme e modernismo (</w:t>
      </w:r>
      <w:r w:rsidRPr="00C97DDC">
        <w:rPr>
          <w:b/>
          <w:bCs/>
        </w:rPr>
        <w:t xml:space="preserve">capitolo </w:t>
      </w:r>
      <w:r w:rsidR="00C97DDC" w:rsidRPr="00C97DDC">
        <w:rPr>
          <w:b/>
          <w:bCs/>
        </w:rPr>
        <w:t>5</w:t>
      </w:r>
      <w:r>
        <w:t>)</w:t>
      </w:r>
    </w:p>
    <w:p w14:paraId="7BABF662" w14:textId="16B92427" w:rsidR="003A5E6A" w:rsidRDefault="003A5E6A" w:rsidP="00B47241">
      <w:pPr>
        <w:pStyle w:val="Paragrafoelenco"/>
        <w:numPr>
          <w:ilvl w:val="0"/>
          <w:numId w:val="1"/>
        </w:numPr>
      </w:pPr>
      <w:r>
        <w:t>L’espansione del cattolicesimo nel secolo XX (</w:t>
      </w:r>
      <w:r w:rsidRPr="00C97DDC">
        <w:rPr>
          <w:b/>
          <w:bCs/>
        </w:rPr>
        <w:t>capitolo 9</w:t>
      </w:r>
      <w:r>
        <w:t>)</w:t>
      </w:r>
    </w:p>
    <w:p w14:paraId="15B18064" w14:textId="1F5BF68C" w:rsidR="003A5E6A" w:rsidRDefault="003A5E6A" w:rsidP="00B47241">
      <w:pPr>
        <w:pStyle w:val="Paragrafoelenco"/>
        <w:numPr>
          <w:ilvl w:val="0"/>
          <w:numId w:val="1"/>
        </w:numPr>
      </w:pPr>
      <w:r>
        <w:t>La guerra civile europea o seconda guerra dei trenta anni e i cattolici (</w:t>
      </w:r>
      <w:r w:rsidRPr="00C97DDC">
        <w:rPr>
          <w:b/>
          <w:bCs/>
        </w:rPr>
        <w:t>capitolo 6</w:t>
      </w:r>
      <w:r>
        <w:t>)</w:t>
      </w:r>
    </w:p>
    <w:p w14:paraId="0518A41D" w14:textId="7F4FF3C1" w:rsidR="003A5E6A" w:rsidRDefault="003A5E6A" w:rsidP="00B47241">
      <w:pPr>
        <w:pStyle w:val="Paragrafoelenco"/>
        <w:numPr>
          <w:ilvl w:val="0"/>
          <w:numId w:val="1"/>
        </w:numPr>
      </w:pPr>
      <w:r>
        <w:t xml:space="preserve">Chiesa e totalitarismo: </w:t>
      </w:r>
      <w:r w:rsidR="00C97DDC">
        <w:t xml:space="preserve">le </w:t>
      </w:r>
      <w:r>
        <w:t>questioni storiografiche</w:t>
      </w:r>
      <w:r w:rsidR="00C97DDC">
        <w:t xml:space="preserve"> calde</w:t>
      </w:r>
      <w:r>
        <w:t xml:space="preserve"> (</w:t>
      </w:r>
      <w:r w:rsidRPr="00C97DDC">
        <w:rPr>
          <w:b/>
          <w:bCs/>
        </w:rPr>
        <w:t>capitolo 7 paragrafi 45-46</w:t>
      </w:r>
      <w:r>
        <w:t>)</w:t>
      </w:r>
    </w:p>
    <w:p w14:paraId="27A2BFED" w14:textId="1075F4FC" w:rsidR="003A5E6A" w:rsidRDefault="003A5E6A" w:rsidP="00B47241">
      <w:pPr>
        <w:pStyle w:val="Paragrafoelenco"/>
        <w:numPr>
          <w:ilvl w:val="0"/>
          <w:numId w:val="1"/>
        </w:numPr>
      </w:pPr>
      <w:r>
        <w:t>I cattolici nella guerra fredda</w:t>
      </w:r>
      <w:r w:rsidR="00C97DDC">
        <w:t xml:space="preserve"> e gli </w:t>
      </w:r>
      <w:r>
        <w:t>ultimi anni del pontificato di Pio XII (</w:t>
      </w:r>
      <w:r w:rsidRPr="00C97DDC">
        <w:rPr>
          <w:b/>
          <w:bCs/>
        </w:rPr>
        <w:t>capitolo 7 paragrafi 47-51</w:t>
      </w:r>
      <w:r>
        <w:t>)</w:t>
      </w:r>
    </w:p>
    <w:p w14:paraId="773B172D" w14:textId="1FB8C359" w:rsidR="003A5E6A" w:rsidRDefault="003A5E6A" w:rsidP="00B47241">
      <w:pPr>
        <w:pStyle w:val="Paragrafoelenco"/>
        <w:numPr>
          <w:ilvl w:val="0"/>
          <w:numId w:val="1"/>
        </w:numPr>
      </w:pPr>
      <w:r>
        <w:t>Il Vaticano II e la sua recezione (</w:t>
      </w:r>
      <w:r w:rsidRPr="00C97DDC">
        <w:rPr>
          <w:b/>
          <w:bCs/>
        </w:rPr>
        <w:t>capitolo 8</w:t>
      </w:r>
      <w:r>
        <w:t>)</w:t>
      </w:r>
    </w:p>
    <w:p w14:paraId="63AE0206" w14:textId="35D0269D" w:rsidR="00C97DDC" w:rsidRDefault="00C97DDC" w:rsidP="00B47241">
      <w:pPr>
        <w:pStyle w:val="Paragrafoelenco"/>
        <w:numPr>
          <w:ilvl w:val="0"/>
          <w:numId w:val="1"/>
        </w:numPr>
      </w:pPr>
      <w:r>
        <w:t>Crisi e opportunità della Chiesa all’inizio del secolo XXI (</w:t>
      </w:r>
      <w:r w:rsidRPr="00C97DDC">
        <w:rPr>
          <w:b/>
          <w:bCs/>
        </w:rPr>
        <w:t>capitolo 10</w:t>
      </w:r>
      <w:r>
        <w:t>) – una storia segnata dalla violenza</w:t>
      </w:r>
    </w:p>
    <w:p w14:paraId="3E9CA57B" w14:textId="75DF9739" w:rsidR="009A2A2D" w:rsidRDefault="009A2A2D">
      <w:r>
        <w:t>Il metodo della verifica a fine corso (= esame) è il seguente: si chiede a ciascuno studente di affrontare la lettura integrale di una monografia storica scientifica. Si allega in altro file una proposta bibliografica di 40 titoli, quasi tutti ancora reperibili in acquisto, tra cui scegliere. Se si vuole proporre un titolo non presente nei 40 indicati, si consulti il docente. A partire da una breve esposizione di quando letto, e da connessioni con il corso svolto che lo stesso studente può proporre o che il docente indicherà attraverso qualche domanda, si darà la valutazione dell’esame. L’obiettivo è anche quello di offrire agli studenti l’opportunità di incontrare uno studio scientifico della storia, anche nel suo metodo.</w:t>
      </w:r>
    </w:p>
    <w:sectPr w:rsidR="009A2A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C3BF3"/>
    <w:multiLevelType w:val="hybridMultilevel"/>
    <w:tmpl w:val="1F369B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6668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2D"/>
    <w:rsid w:val="003A5E6A"/>
    <w:rsid w:val="00927779"/>
    <w:rsid w:val="009A2A2D"/>
    <w:rsid w:val="00B47241"/>
    <w:rsid w:val="00C97DDC"/>
    <w:rsid w:val="00EC1B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80C9"/>
  <w15:chartTrackingRefBased/>
  <w15:docId w15:val="{1802FEFB-F43F-4DB6-9AF3-9B90709E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A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A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A2A2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A2A2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A2A2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A2A2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2A2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A2A2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2A2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A2A2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A2A2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A2A2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A2A2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A2A2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A2A2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2A2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2A2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2A2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2A2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2A2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A2A2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2A2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2A2D"/>
    <w:rPr>
      <w:i/>
      <w:iCs/>
      <w:color w:val="404040" w:themeColor="text1" w:themeTint="BF"/>
    </w:rPr>
  </w:style>
  <w:style w:type="paragraph" w:styleId="Paragrafoelenco">
    <w:name w:val="List Paragraph"/>
    <w:basedOn w:val="Normale"/>
    <w:uiPriority w:val="34"/>
    <w:qFormat/>
    <w:rsid w:val="009A2A2D"/>
    <w:pPr>
      <w:ind w:left="720"/>
      <w:contextualSpacing/>
    </w:pPr>
  </w:style>
  <w:style w:type="character" w:styleId="Enfasiintensa">
    <w:name w:val="Intense Emphasis"/>
    <w:basedOn w:val="Carpredefinitoparagrafo"/>
    <w:uiPriority w:val="21"/>
    <w:qFormat/>
    <w:rsid w:val="009A2A2D"/>
    <w:rPr>
      <w:i/>
      <w:iCs/>
      <w:color w:val="0F4761" w:themeColor="accent1" w:themeShade="BF"/>
    </w:rPr>
  </w:style>
  <w:style w:type="paragraph" w:styleId="Citazioneintensa">
    <w:name w:val="Intense Quote"/>
    <w:basedOn w:val="Normale"/>
    <w:next w:val="Normale"/>
    <w:link w:val="CitazioneintensaCarattere"/>
    <w:uiPriority w:val="30"/>
    <w:qFormat/>
    <w:rsid w:val="009A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A2A2D"/>
    <w:rPr>
      <w:i/>
      <w:iCs/>
      <w:color w:val="0F4761" w:themeColor="accent1" w:themeShade="BF"/>
    </w:rPr>
  </w:style>
  <w:style w:type="character" w:styleId="Riferimentointenso">
    <w:name w:val="Intense Reference"/>
    <w:basedOn w:val="Carpredefinitoparagrafo"/>
    <w:uiPriority w:val="32"/>
    <w:qFormat/>
    <w:rsid w:val="009A2A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339</Words>
  <Characters>1938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Manfredi</dc:creator>
  <cp:keywords/>
  <dc:description/>
  <cp:lastModifiedBy>Angelo Manfredi</cp:lastModifiedBy>
  <cp:revision>1</cp:revision>
  <dcterms:created xsi:type="dcterms:W3CDTF">2024-09-25T17:40:00Z</dcterms:created>
  <dcterms:modified xsi:type="dcterms:W3CDTF">2024-09-25T19:13:00Z</dcterms:modified>
</cp:coreProperties>
</file>