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13F" w:rsidRPr="00A37D36" w:rsidRDefault="00CB113F" w:rsidP="00CB113F">
      <w:pPr>
        <w:jc w:val="center"/>
        <w:rPr>
          <w:rFonts w:ascii="Agency FB" w:eastAsia="Calibri" w:hAnsi="Agency FB" w:cs="Calibri"/>
        </w:rPr>
      </w:pPr>
      <w:r w:rsidRPr="00A37D36">
        <w:rPr>
          <w:rFonts w:ascii="Agency FB" w:eastAsia="Calibri" w:hAnsi="Agency FB" w:cs="Calibri"/>
          <w:bCs/>
        </w:rPr>
        <w:t>I sacramenti «della guarigione»: Riconciliazione dei Penitenti e Unzione degli Infermi</w:t>
      </w:r>
    </w:p>
    <w:p w:rsidR="00CB113F" w:rsidRPr="00A37D36" w:rsidRDefault="00CB113F" w:rsidP="00CB113F">
      <w:pPr>
        <w:tabs>
          <w:tab w:val="left" w:pos="284"/>
        </w:tabs>
        <w:jc w:val="center"/>
        <w:rPr>
          <w:rFonts w:ascii="Agency FB" w:eastAsia="Calibri" w:hAnsi="Agency FB" w:cs="Calibri"/>
          <w:sz w:val="20"/>
        </w:rPr>
      </w:pPr>
      <w:r w:rsidRPr="00A37D36">
        <w:rPr>
          <w:rFonts w:ascii="Agency FB" w:eastAsia="Calibri" w:hAnsi="Agency FB" w:cs="Calibri"/>
          <w:sz w:val="20"/>
        </w:rPr>
        <w:t xml:space="preserve">Istituto Superiore Scienze Religiose </w:t>
      </w:r>
      <w:r w:rsidR="00F27B9A">
        <w:rPr>
          <w:rFonts w:ascii="Agency FB" w:eastAsia="Calibri" w:hAnsi="Agency FB" w:cs="Calibri"/>
          <w:sz w:val="20"/>
        </w:rPr>
        <w:t>di Milano - anno accademico 20</w:t>
      </w:r>
      <w:r w:rsidR="005724E7">
        <w:rPr>
          <w:rFonts w:ascii="Agency FB" w:eastAsia="Calibri" w:hAnsi="Agency FB" w:cs="Calibri"/>
          <w:sz w:val="20"/>
        </w:rPr>
        <w:t>2</w:t>
      </w:r>
      <w:r w:rsidR="000C4784">
        <w:rPr>
          <w:rFonts w:ascii="Agency FB" w:eastAsia="Calibri" w:hAnsi="Agency FB" w:cs="Calibri"/>
          <w:sz w:val="20"/>
        </w:rPr>
        <w:t>3</w:t>
      </w:r>
      <w:r w:rsidRPr="00A37D36">
        <w:rPr>
          <w:rFonts w:ascii="Agency FB" w:eastAsia="Calibri" w:hAnsi="Agency FB" w:cs="Calibri"/>
          <w:sz w:val="20"/>
        </w:rPr>
        <w:t>-</w:t>
      </w:r>
      <w:r w:rsidR="00867327">
        <w:rPr>
          <w:rFonts w:ascii="Agency FB" w:eastAsia="Calibri" w:hAnsi="Agency FB" w:cs="Calibri"/>
          <w:sz w:val="20"/>
        </w:rPr>
        <w:t>2</w:t>
      </w:r>
      <w:r w:rsidR="000C4784">
        <w:rPr>
          <w:rFonts w:ascii="Agency FB" w:eastAsia="Calibri" w:hAnsi="Agency FB" w:cs="Calibri"/>
          <w:sz w:val="20"/>
        </w:rPr>
        <w:t>4</w:t>
      </w:r>
    </w:p>
    <w:p w:rsidR="00CB113F" w:rsidRPr="00A75C69" w:rsidRDefault="0068098F" w:rsidP="00CB113F">
      <w:pPr>
        <w:jc w:val="center"/>
        <w:rPr>
          <w:rFonts w:ascii="Calibri" w:eastAsia="Calibri" w:hAnsi="Calibri" w:cs="Calibri"/>
          <w:sz w:val="22"/>
          <w:szCs w:val="22"/>
        </w:rPr>
      </w:pPr>
      <w:hyperlink r:id="rId7" w:history="1">
        <w:r w:rsidR="00F27B9A" w:rsidRPr="00BD127D">
          <w:rPr>
            <w:rStyle w:val="Collegamentoipertestuale"/>
            <w:rFonts w:ascii="Agency FB" w:eastAsia="Calibri" w:hAnsi="Agency FB" w:cs="Calibri"/>
            <w:sz w:val="20"/>
          </w:rPr>
          <w:t>paleari</w:t>
        </w:r>
      </w:hyperlink>
      <w:r w:rsidR="00F27B9A">
        <w:rPr>
          <w:rFonts w:ascii="Agency FB" w:eastAsia="Calibri" w:hAnsi="Agency FB" w:cs="Calibri"/>
          <w:color w:val="0000FF"/>
          <w:sz w:val="20"/>
          <w:u w:val="single"/>
        </w:rPr>
        <w:t>.marco</w:t>
      </w:r>
      <w:hyperlink r:id="rId8" w:history="1">
        <w:r w:rsidR="00CB113F" w:rsidRPr="00A37D36">
          <w:rPr>
            <w:rFonts w:ascii="Agency FB" w:eastAsia="Calibri" w:hAnsi="Agency FB" w:cs="Calibri"/>
            <w:color w:val="0000FF"/>
            <w:sz w:val="20"/>
            <w:u w:val="single"/>
          </w:rPr>
          <w:t>@</w:t>
        </w:r>
      </w:hyperlink>
      <w:r w:rsidR="00F27B9A">
        <w:rPr>
          <w:rFonts w:ascii="Agency FB" w:eastAsia="Calibri" w:hAnsi="Agency FB" w:cs="Calibri"/>
          <w:color w:val="0000FF"/>
          <w:sz w:val="20"/>
          <w:u w:val="single"/>
        </w:rPr>
        <w:t>gmail</w:t>
      </w:r>
      <w:hyperlink r:id="rId9" w:history="1">
        <w:r w:rsidR="00F27B9A" w:rsidRPr="00BD127D">
          <w:rPr>
            <w:rStyle w:val="Collegamentoipertestuale"/>
            <w:rFonts w:ascii="Agency FB" w:eastAsia="Calibri" w:hAnsi="Agency FB" w:cs="Calibri"/>
            <w:sz w:val="20"/>
          </w:rPr>
          <w:t>.</w:t>
        </w:r>
      </w:hyperlink>
      <w:r w:rsidR="00F27B9A">
        <w:rPr>
          <w:rFonts w:ascii="Agency FB" w:eastAsia="Calibri" w:hAnsi="Agency FB" w:cs="Calibri"/>
          <w:color w:val="0000FF"/>
          <w:sz w:val="20"/>
          <w:u w:val="single"/>
        </w:rPr>
        <w:t>com</w:t>
      </w:r>
      <w:r w:rsidR="00CB113F" w:rsidRPr="00A37D36">
        <w:rPr>
          <w:rFonts w:ascii="Agency FB" w:eastAsia="Calibri" w:hAnsi="Agency FB" w:cs="Calibri"/>
          <w:sz w:val="20"/>
        </w:rPr>
        <w:t xml:space="preserve"> - prof. Paleari Marco – su Facebook e </w:t>
      </w:r>
      <w:hyperlink r:id="rId10" w:history="1">
        <w:r w:rsidR="00F27B9A" w:rsidRPr="00BD127D">
          <w:rPr>
            <w:rStyle w:val="Collegamentoipertestuale"/>
            <w:rFonts w:ascii="Agency FB" w:eastAsia="Calibri" w:hAnsi="Agency FB" w:cs="Calibri"/>
            <w:sz w:val="20"/>
          </w:rPr>
          <w:t>www</w:t>
        </w:r>
      </w:hyperlink>
      <w:hyperlink r:id="rId11" w:history="1">
        <w:r w:rsidR="00CB113F" w:rsidRPr="00A37D36">
          <w:rPr>
            <w:rFonts w:ascii="Agency FB" w:eastAsia="Calibri" w:hAnsi="Agency FB" w:cs="Calibri"/>
            <w:color w:val="0000FF"/>
            <w:sz w:val="20"/>
            <w:u w:val="single"/>
          </w:rPr>
          <w:t>.</w:t>
        </w:r>
      </w:hyperlink>
      <w:hyperlink r:id="rId12" w:history="1">
        <w:r w:rsidR="00CB113F" w:rsidRPr="00A37D36">
          <w:rPr>
            <w:rFonts w:ascii="Agency FB" w:eastAsia="Calibri" w:hAnsi="Agency FB" w:cs="Calibri"/>
            <w:color w:val="0000FF"/>
            <w:sz w:val="20"/>
            <w:u w:val="single"/>
          </w:rPr>
          <w:t>seitreseiuno</w:t>
        </w:r>
      </w:hyperlink>
      <w:hyperlink r:id="rId13" w:history="1">
        <w:r w:rsidR="00CB113F" w:rsidRPr="00A37D36">
          <w:rPr>
            <w:rFonts w:ascii="Agency FB" w:eastAsia="Calibri" w:hAnsi="Agency FB" w:cs="Calibri"/>
            <w:color w:val="0000FF"/>
            <w:sz w:val="20"/>
            <w:u w:val="single"/>
          </w:rPr>
          <w:t>.</w:t>
        </w:r>
      </w:hyperlink>
      <w:hyperlink r:id="rId14" w:history="1">
        <w:r w:rsidR="00CB113F" w:rsidRPr="00A37D36">
          <w:rPr>
            <w:rFonts w:ascii="Agency FB" w:eastAsia="Calibri" w:hAnsi="Agency FB" w:cs="Calibri"/>
            <w:color w:val="0000FF"/>
            <w:sz w:val="20"/>
            <w:u w:val="single"/>
          </w:rPr>
          <w:t>net</w:t>
        </w:r>
      </w:hyperlink>
    </w:p>
    <w:p w:rsidR="00054842" w:rsidRPr="00CB113F" w:rsidRDefault="00054842" w:rsidP="00CB113F">
      <w:pPr>
        <w:rPr>
          <w:rFonts w:eastAsia="Calibri"/>
        </w:rPr>
      </w:pPr>
    </w:p>
    <w:p w:rsidR="00054842" w:rsidRPr="00CB113F" w:rsidRDefault="00054842" w:rsidP="00CB1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="Calibri" w:hAnsiTheme="majorHAnsi"/>
          <w:b/>
        </w:rPr>
      </w:pPr>
      <w:r w:rsidRPr="00CB113F">
        <w:rPr>
          <w:rFonts w:asciiTheme="majorHAnsi" w:eastAsia="Calibri" w:hAnsiTheme="majorHAnsi"/>
          <w:b/>
          <w:sz w:val="32"/>
        </w:rPr>
        <w:t>Modalità dell’esame orale</w:t>
      </w:r>
    </w:p>
    <w:p w:rsidR="00054842" w:rsidRPr="00CB113F" w:rsidRDefault="00054842" w:rsidP="00CB113F">
      <w:pPr>
        <w:rPr>
          <w:rFonts w:eastAsia="Calibri"/>
        </w:rPr>
      </w:pPr>
    </w:p>
    <w:p w:rsidR="00054842" w:rsidRDefault="00054842" w:rsidP="008E3549">
      <w:pPr>
        <w:tabs>
          <w:tab w:val="left" w:pos="28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CB113F" w:rsidRPr="00AF1C4E">
        <w:rPr>
          <w:rFonts w:ascii="Calibri" w:eastAsia="Calibri" w:hAnsi="Calibri" w:cs="Calibri"/>
          <w:b/>
        </w:rPr>
        <w:t>Materiali</w:t>
      </w:r>
      <w:r w:rsidR="00AF1C4E">
        <w:rPr>
          <w:rFonts w:ascii="Calibri" w:eastAsia="Calibri" w:hAnsi="Calibri" w:cs="Calibri"/>
        </w:rPr>
        <w:t xml:space="preserve"> per la preparazione dell'esame</w:t>
      </w:r>
      <w:r w:rsidR="00CB113F">
        <w:rPr>
          <w:rFonts w:ascii="Calibri" w:eastAsia="Calibri" w:hAnsi="Calibri" w:cs="Calibri"/>
        </w:rPr>
        <w:t xml:space="preserve">: </w:t>
      </w:r>
      <w:r w:rsidR="000C4784">
        <w:rPr>
          <w:rFonts w:ascii="Calibri" w:eastAsia="Calibri" w:hAnsi="Calibri" w:cs="Calibri"/>
        </w:rPr>
        <w:t xml:space="preserve">la Bibbia; </w:t>
      </w:r>
      <w:r w:rsidR="00CB113F">
        <w:rPr>
          <w:rFonts w:ascii="Calibri" w:eastAsia="Calibri" w:hAnsi="Calibri" w:cs="Calibri"/>
        </w:rPr>
        <w:t>i Rituali dei sacramenti</w:t>
      </w:r>
      <w:r w:rsidR="00251FD4">
        <w:rPr>
          <w:rFonts w:ascii="Calibri" w:eastAsia="Calibri" w:hAnsi="Calibri" w:cs="Calibri"/>
        </w:rPr>
        <w:t>;</w:t>
      </w:r>
      <w:r w:rsidR="00CB113F">
        <w:rPr>
          <w:rFonts w:ascii="Calibri" w:eastAsia="Calibri" w:hAnsi="Calibri" w:cs="Calibri"/>
        </w:rPr>
        <w:t xml:space="preserve"> le "</w:t>
      </w:r>
      <w:r w:rsidR="0023094A">
        <w:rPr>
          <w:rFonts w:ascii="Calibri" w:eastAsia="Calibri" w:hAnsi="Calibri" w:cs="Calibri"/>
        </w:rPr>
        <w:t>dispens</w:t>
      </w:r>
      <w:r w:rsidR="00CB113F">
        <w:rPr>
          <w:rFonts w:ascii="Calibri" w:eastAsia="Calibri" w:hAnsi="Calibri" w:cs="Calibri"/>
        </w:rPr>
        <w:t>e" utilizzate durante le lezioni (reperibili su</w:t>
      </w:r>
      <w:r w:rsidR="008E3549">
        <w:rPr>
          <w:rFonts w:ascii="Calibri" w:eastAsia="Calibri" w:hAnsi="Calibri" w:cs="Calibri"/>
        </w:rPr>
        <w:t>l</w:t>
      </w:r>
      <w:r w:rsidR="00CB113F">
        <w:rPr>
          <w:rFonts w:ascii="Calibri" w:eastAsia="Calibri" w:hAnsi="Calibri" w:cs="Calibri"/>
        </w:rPr>
        <w:t>l</w:t>
      </w:r>
      <w:r w:rsidR="008E3549">
        <w:rPr>
          <w:rFonts w:ascii="Calibri" w:eastAsia="Calibri" w:hAnsi="Calibri" w:cs="Calibri"/>
        </w:rPr>
        <w:t>a pagina del docente sul</w:t>
      </w:r>
      <w:r w:rsidR="00CB113F">
        <w:rPr>
          <w:rFonts w:ascii="Calibri" w:eastAsia="Calibri" w:hAnsi="Calibri" w:cs="Calibri"/>
        </w:rPr>
        <w:t xml:space="preserve"> sito</w:t>
      </w:r>
      <w:r w:rsidR="008E3549">
        <w:rPr>
          <w:rFonts w:ascii="Calibri" w:eastAsia="Calibri" w:hAnsi="Calibri" w:cs="Calibri"/>
        </w:rPr>
        <w:t xml:space="preserve"> dell’ISSRM)</w:t>
      </w:r>
      <w:r w:rsidR="0023094A">
        <w:rPr>
          <w:rFonts w:ascii="Calibri" w:eastAsia="Calibri" w:hAnsi="Calibri" w:cs="Calibri"/>
        </w:rPr>
        <w:t xml:space="preserve"> e i libri di riferimento (Caspani - Maffeis - Busca</w:t>
      </w:r>
      <w:r w:rsidR="00387867">
        <w:rPr>
          <w:rFonts w:ascii="Calibri" w:eastAsia="Calibri" w:hAnsi="Calibri" w:cs="Calibri"/>
        </w:rPr>
        <w:t xml:space="preserve"> su “Attori di riconciliazione”</w:t>
      </w:r>
      <w:r w:rsidR="0023094A">
        <w:rPr>
          <w:rFonts w:ascii="Calibri" w:eastAsia="Calibri" w:hAnsi="Calibri" w:cs="Calibri"/>
        </w:rPr>
        <w:t>) per gli approfondimenti.</w:t>
      </w:r>
    </w:p>
    <w:p w:rsidR="00054842" w:rsidRPr="00387867" w:rsidRDefault="00054842">
      <w:pPr>
        <w:tabs>
          <w:tab w:val="left" w:pos="284"/>
        </w:tabs>
        <w:jc w:val="both"/>
        <w:rPr>
          <w:rFonts w:ascii="Calibri" w:eastAsia="Calibri" w:hAnsi="Calibri" w:cs="Calibri"/>
          <w:sz w:val="12"/>
        </w:rPr>
      </w:pPr>
    </w:p>
    <w:p w:rsidR="00AF1C4E" w:rsidRDefault="00054842">
      <w:pPr>
        <w:tabs>
          <w:tab w:val="left" w:pos="28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Per verificare</w:t>
      </w:r>
      <w:r w:rsidR="00CB113F">
        <w:rPr>
          <w:rFonts w:ascii="Calibri" w:eastAsia="Calibri" w:hAnsi="Calibri" w:cs="Calibri"/>
        </w:rPr>
        <w:t xml:space="preserve"> l’appropriazione della materia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insieme ad una </w:t>
      </w:r>
      <w:r>
        <w:rPr>
          <w:rFonts w:ascii="Calibri" w:eastAsia="Calibri" w:hAnsi="Calibri" w:cs="Calibri"/>
          <w:b/>
          <w:bCs/>
        </w:rPr>
        <w:t>sufficiente preparazione generale</w:t>
      </w:r>
      <w:r>
        <w:rPr>
          <w:rFonts w:ascii="Calibri" w:eastAsia="Calibri" w:hAnsi="Calibri" w:cs="Calibri"/>
        </w:rPr>
        <w:t xml:space="preserve">, viene richiesta </w:t>
      </w:r>
      <w:r>
        <w:rPr>
          <w:rFonts w:ascii="Calibri" w:eastAsia="Calibri" w:hAnsi="Calibri" w:cs="Calibri"/>
          <w:b/>
          <w:bCs/>
        </w:rPr>
        <w:t>la conoscenza specifica degli argomenti raccolti nel tesario riportato di seguito</w:t>
      </w:r>
      <w:r w:rsidR="00387867">
        <w:rPr>
          <w:rFonts w:ascii="Calibri" w:eastAsia="Calibri" w:hAnsi="Calibri" w:cs="Calibri"/>
        </w:rPr>
        <w:t xml:space="preserve">; </w:t>
      </w:r>
      <w:r w:rsidR="00AF1C4E" w:rsidRPr="00AF1C4E">
        <w:rPr>
          <w:rFonts w:ascii="Calibri" w:eastAsia="Calibri" w:hAnsi="Calibri" w:cs="Calibri"/>
          <w:b/>
        </w:rPr>
        <w:t>spetterà al docente scegliere</w:t>
      </w:r>
      <w:r w:rsidR="00F27B9A">
        <w:rPr>
          <w:rFonts w:ascii="Calibri" w:eastAsia="Calibri" w:hAnsi="Calibri" w:cs="Calibri"/>
          <w:b/>
        </w:rPr>
        <w:t xml:space="preserve"> quale tesi chiedere</w:t>
      </w:r>
      <w:r w:rsidR="00AF1C4E">
        <w:rPr>
          <w:rFonts w:ascii="Calibri" w:eastAsia="Calibri" w:hAnsi="Calibri" w:cs="Calibri"/>
        </w:rPr>
        <w:t>.</w:t>
      </w:r>
    </w:p>
    <w:p w:rsidR="00054842" w:rsidRPr="00387867" w:rsidRDefault="00054842">
      <w:pPr>
        <w:tabs>
          <w:tab w:val="left" w:pos="284"/>
        </w:tabs>
        <w:jc w:val="both"/>
        <w:rPr>
          <w:rFonts w:ascii="Calibri" w:eastAsia="Calibri" w:hAnsi="Calibri" w:cs="Calibri"/>
          <w:sz w:val="12"/>
        </w:rPr>
      </w:pPr>
    </w:p>
    <w:p w:rsidR="00054842" w:rsidRDefault="00054842" w:rsidP="00387867">
      <w:pPr>
        <w:tabs>
          <w:tab w:val="left" w:pos="28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Si richiede </w:t>
      </w:r>
      <w:r>
        <w:rPr>
          <w:rFonts w:ascii="Calibri" w:eastAsia="Calibri" w:hAnsi="Calibri" w:cs="Calibri"/>
          <w:b/>
          <w:bCs/>
        </w:rPr>
        <w:t xml:space="preserve">una presentazione fluida </w:t>
      </w:r>
      <w:r>
        <w:rPr>
          <w:rFonts w:ascii="Calibri" w:eastAsia="Calibri" w:hAnsi="Calibri" w:cs="Calibri"/>
        </w:rPr>
        <w:t>(</w:t>
      </w:r>
      <w:r w:rsidR="00CB113F">
        <w:rPr>
          <w:rFonts w:ascii="Calibri" w:eastAsia="Calibri" w:hAnsi="Calibri" w:cs="Calibri"/>
        </w:rPr>
        <w:t>sintetica</w:t>
      </w:r>
      <w:r w:rsidR="008E3549">
        <w:rPr>
          <w:rFonts w:ascii="Calibri" w:eastAsia="Calibri" w:hAnsi="Calibri" w:cs="Calibri"/>
        </w:rPr>
        <w:t>: 3-4 minuti</w:t>
      </w:r>
      <w:r w:rsidR="00CB113F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b/>
          <w:bCs/>
        </w:rPr>
        <w:t xml:space="preserve"> del</w:t>
      </w:r>
      <w:r w:rsidR="00387867">
        <w:rPr>
          <w:rFonts w:ascii="Calibri" w:eastAsia="Calibri" w:hAnsi="Calibri" w:cs="Calibri"/>
          <w:b/>
          <w:bCs/>
        </w:rPr>
        <w:t xml:space="preserve"> cuore del</w:t>
      </w:r>
      <w:r>
        <w:rPr>
          <w:rFonts w:ascii="Calibri" w:eastAsia="Calibri" w:hAnsi="Calibri" w:cs="Calibri"/>
          <w:b/>
          <w:bCs/>
        </w:rPr>
        <w:t xml:space="preserve">la tesi </w:t>
      </w:r>
      <w:r w:rsidR="00387867">
        <w:rPr>
          <w:rFonts w:ascii="Calibri" w:eastAsia="Calibri" w:hAnsi="Calibri" w:cs="Calibri"/>
          <w:b/>
          <w:bCs/>
        </w:rPr>
        <w:t>richie</w:t>
      </w:r>
      <w:r>
        <w:rPr>
          <w:rFonts w:ascii="Calibri" w:eastAsia="Calibri" w:hAnsi="Calibri" w:cs="Calibri"/>
          <w:b/>
          <w:bCs/>
        </w:rPr>
        <w:t>sta e l’articolazione con il resto dei capitoli del corso</w:t>
      </w:r>
      <w:r>
        <w:rPr>
          <w:rFonts w:ascii="Calibri" w:eastAsia="Calibri" w:hAnsi="Calibri" w:cs="Calibri"/>
        </w:rPr>
        <w:t>; in modo particolare si mett</w:t>
      </w:r>
      <w:r w:rsidR="00387867">
        <w:rPr>
          <w:rFonts w:ascii="Calibri" w:eastAsia="Calibri" w:hAnsi="Calibri" w:cs="Calibri"/>
        </w:rPr>
        <w:t>ano</w:t>
      </w:r>
      <w:r>
        <w:rPr>
          <w:rFonts w:ascii="Calibri" w:eastAsia="Calibri" w:hAnsi="Calibri" w:cs="Calibri"/>
        </w:rPr>
        <w:t xml:space="preserve"> in luce i rapporti tra</w:t>
      </w:r>
      <w:r w:rsidR="00387867">
        <w:rPr>
          <w:rFonts w:ascii="Calibri" w:eastAsia="Calibri" w:hAnsi="Calibri" w:cs="Calibri"/>
        </w:rPr>
        <w:t xml:space="preserve"> il rito</w:t>
      </w:r>
      <w:r w:rsidR="00CB113F">
        <w:rPr>
          <w:rFonts w:ascii="Calibri" w:eastAsia="Calibri" w:hAnsi="Calibri" w:cs="Calibri"/>
        </w:rPr>
        <w:t xml:space="preserve"> e la teologia soggiacente</w:t>
      </w:r>
      <w:r>
        <w:rPr>
          <w:rFonts w:ascii="Calibri" w:eastAsia="Calibri" w:hAnsi="Calibri" w:cs="Calibri"/>
        </w:rPr>
        <w:t>.</w:t>
      </w:r>
    </w:p>
    <w:p w:rsidR="00387867" w:rsidRPr="00387867" w:rsidRDefault="00387867" w:rsidP="00387867">
      <w:pPr>
        <w:tabs>
          <w:tab w:val="left" w:pos="284"/>
        </w:tabs>
        <w:jc w:val="both"/>
        <w:rPr>
          <w:rFonts w:ascii="Calibri" w:eastAsia="Calibri" w:hAnsi="Calibri" w:cs="Calibri"/>
          <w:sz w:val="12"/>
        </w:rPr>
      </w:pPr>
    </w:p>
    <w:p w:rsidR="00A00F69" w:rsidRDefault="00054842" w:rsidP="00CB113F">
      <w:pPr>
        <w:tabs>
          <w:tab w:val="left" w:pos="28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Si intende che, a partire da ciascuna tesi, i</w:t>
      </w:r>
      <w:r w:rsidR="00CB113F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 xml:space="preserve"> docent</w:t>
      </w:r>
      <w:r w:rsidR="00CB113F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poss</w:t>
      </w:r>
      <w:r w:rsidR="00CB113F">
        <w:rPr>
          <w:rFonts w:ascii="Calibri" w:eastAsia="Calibri" w:hAnsi="Calibri" w:cs="Calibri"/>
        </w:rPr>
        <w:t xml:space="preserve">a porre </w:t>
      </w:r>
      <w:r>
        <w:rPr>
          <w:rFonts w:ascii="Calibri" w:eastAsia="Calibri" w:hAnsi="Calibri" w:cs="Calibri"/>
        </w:rPr>
        <w:t>d</w:t>
      </w:r>
      <w:r w:rsidR="00CB113F">
        <w:rPr>
          <w:rFonts w:ascii="Calibri" w:eastAsia="Calibri" w:hAnsi="Calibri" w:cs="Calibri"/>
        </w:rPr>
        <w:t>omande su altri parti del corso,</w:t>
      </w:r>
      <w:r>
        <w:rPr>
          <w:rFonts w:ascii="Calibri" w:eastAsia="Calibri" w:hAnsi="Calibri" w:cs="Calibri"/>
        </w:rPr>
        <w:t xml:space="preserve"> al fine di </w:t>
      </w:r>
      <w:r>
        <w:rPr>
          <w:rFonts w:ascii="Calibri" w:eastAsia="Calibri" w:hAnsi="Calibri" w:cs="Calibri"/>
          <w:b/>
          <w:bCs/>
        </w:rPr>
        <w:t>sondare la conoscenza delle linee sintetiche della teologia della penitenza e dell'unzione</w:t>
      </w:r>
      <w:r>
        <w:rPr>
          <w:rFonts w:ascii="Calibri" w:eastAsia="Calibri" w:hAnsi="Calibri" w:cs="Calibri"/>
        </w:rPr>
        <w:t>.</w:t>
      </w:r>
    </w:p>
    <w:p w:rsidR="00AF1C4E" w:rsidRDefault="00AF1C4E" w:rsidP="00CB113F">
      <w:pPr>
        <w:rPr>
          <w:rFonts w:eastAsia="Calibri"/>
        </w:rPr>
      </w:pPr>
    </w:p>
    <w:p w:rsidR="00507B7E" w:rsidRPr="001C2002" w:rsidRDefault="00507B7E" w:rsidP="00507B7E">
      <w:pPr>
        <w:ind w:left="284" w:right="284"/>
        <w:jc w:val="both"/>
        <w:rPr>
          <w:rFonts w:asciiTheme="minorHAnsi" w:eastAsia="Calibri" w:hAnsiTheme="minorHAnsi"/>
          <w:sz w:val="22"/>
        </w:rPr>
      </w:pPr>
      <w:r w:rsidRPr="001C2002">
        <w:rPr>
          <w:rFonts w:asciiTheme="minorHAnsi" w:eastAsia="Calibri" w:hAnsiTheme="minorHAnsi"/>
          <w:sz w:val="22"/>
        </w:rPr>
        <w:t>Ricordo che - pur nel rispetto dei diritti degli studenti - da regolamento non è possibile togliersi da un appello la mattina stessa dell'esame.</w:t>
      </w:r>
    </w:p>
    <w:p w:rsidR="00507B7E" w:rsidRPr="001C2002" w:rsidRDefault="00507B7E" w:rsidP="00507B7E">
      <w:pPr>
        <w:ind w:left="284" w:right="284"/>
        <w:jc w:val="both"/>
        <w:rPr>
          <w:rFonts w:asciiTheme="minorHAnsi" w:eastAsia="Calibri" w:hAnsiTheme="minorHAnsi"/>
          <w:sz w:val="22"/>
        </w:rPr>
      </w:pPr>
      <w:r w:rsidRPr="001C2002">
        <w:rPr>
          <w:rFonts w:asciiTheme="minorHAnsi" w:eastAsia="Calibri" w:hAnsiTheme="minorHAnsi"/>
          <w:sz w:val="22"/>
        </w:rPr>
        <w:t xml:space="preserve">Farò gli esami finché ci sono presenti gli iscritti, secondo l'elenco che mi verrà consegnato dalla segreteria; se - ad un certo momento - non ci fossero più esaminandi presenti, </w:t>
      </w:r>
      <w:r w:rsidR="007B460D">
        <w:rPr>
          <w:rFonts w:asciiTheme="minorHAnsi" w:eastAsia="Calibri" w:hAnsiTheme="minorHAnsi"/>
          <w:sz w:val="22"/>
        </w:rPr>
        <w:t xml:space="preserve">dopo una congrua attesa, </w:t>
      </w:r>
      <w:r w:rsidRPr="001C2002">
        <w:rPr>
          <w:rFonts w:asciiTheme="minorHAnsi" w:eastAsia="Calibri" w:hAnsiTheme="minorHAnsi"/>
          <w:sz w:val="22"/>
        </w:rPr>
        <w:t>riterrò concluso il mio impegno di quel giorno.</w:t>
      </w:r>
    </w:p>
    <w:p w:rsidR="00507B7E" w:rsidRPr="00507B7E" w:rsidRDefault="00507B7E" w:rsidP="00507B7E">
      <w:pPr>
        <w:ind w:left="284" w:right="284"/>
        <w:jc w:val="both"/>
        <w:rPr>
          <w:rFonts w:asciiTheme="minorHAnsi" w:eastAsia="Calibri" w:hAnsiTheme="minorHAnsi"/>
          <w:sz w:val="20"/>
        </w:rPr>
      </w:pPr>
      <w:r w:rsidRPr="001C2002">
        <w:rPr>
          <w:rFonts w:asciiTheme="minorHAnsi" w:eastAsia="Calibri" w:hAnsiTheme="minorHAnsi"/>
          <w:sz w:val="22"/>
        </w:rPr>
        <w:t>Circa l'orario in cui presentarsi, gli esaminandi tengano presente che il tempo medio di un esame (come indicato nel tesario) sarà di dieci minuti. Qualora uno o più alunni presenti in elenco non si presentassero (non dovrebbe essere possibile!), è chiaro che i tempi complessivi si ridurrebbero, facendo anticipare l'orario di tutti.</w:t>
      </w:r>
    </w:p>
    <w:p w:rsidR="00AF1C4E" w:rsidRDefault="00AF1C4E" w:rsidP="00CB113F">
      <w:pPr>
        <w:rPr>
          <w:rFonts w:eastAsia="Calibri"/>
        </w:rPr>
      </w:pPr>
    </w:p>
    <w:p w:rsidR="00451CEB" w:rsidRDefault="00451CEB">
      <w:pPr>
        <w:rPr>
          <w:rFonts w:eastAsia="Calibri"/>
        </w:rPr>
      </w:pPr>
      <w:r>
        <w:rPr>
          <w:rFonts w:eastAsia="Calibri"/>
        </w:rPr>
        <w:br w:type="page"/>
      </w:r>
    </w:p>
    <w:p w:rsidR="00451CEB" w:rsidRDefault="00451CEB" w:rsidP="00CB113F">
      <w:pPr>
        <w:rPr>
          <w:rFonts w:eastAsia="Calibri"/>
        </w:rPr>
      </w:pPr>
    </w:p>
    <w:p w:rsidR="00054842" w:rsidRPr="00AF1C4E" w:rsidRDefault="00054842" w:rsidP="00AF1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="Calibri" w:hAnsiTheme="majorHAnsi"/>
          <w:b/>
          <w:sz w:val="32"/>
        </w:rPr>
      </w:pPr>
      <w:r w:rsidRPr="00AF1C4E">
        <w:rPr>
          <w:rFonts w:asciiTheme="majorHAnsi" w:eastAsia="Calibri" w:hAnsiTheme="majorHAnsi"/>
          <w:b/>
          <w:sz w:val="32"/>
        </w:rPr>
        <w:t>Tesario per l’esame</w:t>
      </w:r>
      <w:r w:rsidR="001B4532">
        <w:rPr>
          <w:rFonts w:asciiTheme="majorHAnsi" w:eastAsia="Calibri" w:hAnsiTheme="majorHAnsi"/>
          <w:b/>
          <w:sz w:val="32"/>
        </w:rPr>
        <w:t xml:space="preserve"> </w:t>
      </w:r>
      <w:r w:rsidR="009F41BF">
        <w:rPr>
          <w:rFonts w:asciiTheme="majorHAnsi" w:eastAsia="Calibri" w:hAnsiTheme="majorHAnsi"/>
          <w:b/>
          <w:sz w:val="32"/>
        </w:rPr>
        <w:t>–</w:t>
      </w:r>
      <w:r w:rsidR="001B4532">
        <w:rPr>
          <w:rFonts w:asciiTheme="majorHAnsi" w:eastAsia="Calibri" w:hAnsiTheme="majorHAnsi"/>
          <w:b/>
          <w:sz w:val="32"/>
        </w:rPr>
        <w:t xml:space="preserve"> </w:t>
      </w:r>
      <w:r w:rsidR="000C4784">
        <w:rPr>
          <w:rFonts w:asciiTheme="majorHAnsi" w:eastAsia="Calibri" w:hAnsiTheme="majorHAnsi"/>
          <w:b/>
          <w:sz w:val="32"/>
        </w:rPr>
        <w:t>bozza 6 ottobre 2023</w:t>
      </w:r>
    </w:p>
    <w:p w:rsidR="00054842" w:rsidRPr="00AF1C4E" w:rsidRDefault="00054842" w:rsidP="00CB113F">
      <w:pPr>
        <w:rPr>
          <w:rFonts w:eastAsia="Calibri"/>
          <w:sz w:val="32"/>
        </w:rPr>
      </w:pPr>
    </w:p>
    <w:p w:rsidR="00054842" w:rsidRPr="00507B7E" w:rsidRDefault="00BA6568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Cosa significa che il sacramento è un “evento di relazione”? Chi sono i soggetti coinvolti? In che senso sono messi o </w:t>
      </w:r>
      <w:r w:rsidR="007D2CBB">
        <w:rPr>
          <w:rFonts w:ascii="Calibri" w:eastAsia="Calibri" w:hAnsi="Calibri" w:cs="Calibri"/>
        </w:rPr>
        <w:t>“</w:t>
      </w:r>
      <w:proofErr w:type="spellStart"/>
      <w:r>
        <w:rPr>
          <w:rFonts w:ascii="Calibri" w:eastAsia="Calibri" w:hAnsi="Calibri" w:cs="Calibri"/>
        </w:rPr>
        <w:t>ri</w:t>
      </w:r>
      <w:proofErr w:type="spellEnd"/>
      <w:r>
        <w:rPr>
          <w:rFonts w:ascii="Calibri" w:eastAsia="Calibri" w:hAnsi="Calibri" w:cs="Calibri"/>
        </w:rPr>
        <w:t>-messi</w:t>
      </w:r>
      <w:r w:rsidR="007D2CBB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 xml:space="preserve"> in relazione?</w:t>
      </w:r>
    </w:p>
    <w:p w:rsidR="00054842" w:rsidRPr="00507B7E" w:rsidRDefault="00BA6568" w:rsidP="00AF1C4E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Come si imposta il rapporto tra la situazione donata dai sacramenti della I.C. e il quarto sacramento?</w:t>
      </w:r>
    </w:p>
    <w:p w:rsidR="00054842" w:rsidRPr="00507B7E" w:rsidRDefault="00BA6568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 è, secondo il CCC, il rapporto tra i sacramenti del settenario? In quale posto e con quale funzione esistono i sacramenti “della guarigione”?</w:t>
      </w:r>
    </w:p>
    <w:p w:rsidR="00054842" w:rsidRDefault="008E5566" w:rsidP="00AF1C4E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Quale rapporto tra volontà istitutrice di Gesù e le scelte storiche (rituali, disciplinari) della Chiesa, in materia sacramentale?</w:t>
      </w:r>
      <w:r w:rsidR="00AB1CAA">
        <w:rPr>
          <w:rFonts w:ascii="Calibri" w:eastAsia="Calibri" w:hAnsi="Calibri" w:cs="Calibri"/>
        </w:rPr>
        <w:t xml:space="preserve"> L’esempio della storia della Penitenza e della Unzione degli Infermi.</w:t>
      </w:r>
    </w:p>
    <w:p w:rsidR="00BC32A3" w:rsidRDefault="00BC32A3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che senso “nella comunità c’è vita”, “fuori dalla comunità c’è morte”? In che senso un peccato è “mortale”?</w:t>
      </w:r>
    </w:p>
    <w:p w:rsidR="00BC32A3" w:rsidRDefault="00BC32A3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che modo i testi biblici presentano e interpretano le dinamiche peccaminose?</w:t>
      </w:r>
      <w:r w:rsidR="00AB1CAA">
        <w:rPr>
          <w:rFonts w:ascii="Calibri" w:eastAsia="Calibri" w:hAnsi="Calibri" w:cs="Calibri"/>
        </w:rPr>
        <w:t xml:space="preserve"> Si scelgano due-tre passi biblici.</w:t>
      </w:r>
    </w:p>
    <w:p w:rsidR="00BD4304" w:rsidRDefault="00040DDE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Cos’</w:t>
      </w:r>
      <w:r w:rsidR="00BD4304">
        <w:rPr>
          <w:rFonts w:ascii="Calibri" w:eastAsia="Calibri" w:hAnsi="Calibri" w:cs="Calibri"/>
        </w:rPr>
        <w:t>è un “sistema penitenziale”?</w:t>
      </w:r>
    </w:p>
    <w:p w:rsidR="00040DDE" w:rsidRDefault="00040DDE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Cosa intendiamo con la espressione “dopo Gen 3”?</w:t>
      </w:r>
    </w:p>
    <w:p w:rsidR="00040DDE" w:rsidRDefault="00A127B6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Spieghiamo le dimensioni ecclesiologica, ecclesiogenetica ed ecclesiale</w:t>
      </w:r>
      <w:r w:rsidR="00A041D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del sacramento</w:t>
      </w:r>
      <w:r w:rsidR="006615A6">
        <w:rPr>
          <w:rFonts w:ascii="Calibri" w:eastAsia="Calibri" w:hAnsi="Calibri" w:cs="Calibri"/>
        </w:rPr>
        <w:t xml:space="preserve"> della penitenza</w:t>
      </w:r>
      <w:r w:rsidR="00A041DA">
        <w:rPr>
          <w:rFonts w:ascii="Calibri" w:eastAsia="Calibri" w:hAnsi="Calibri" w:cs="Calibri"/>
        </w:rPr>
        <w:t xml:space="preserve"> o del sacramento dell’unzione degli infermi.</w:t>
      </w:r>
    </w:p>
    <w:p w:rsidR="00A127B6" w:rsidRDefault="00A127B6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distinzione e la articolazione tra “virtù di penitenza” e “sacramento della penitenza”.</w:t>
      </w:r>
    </w:p>
    <w:p w:rsidR="00DA27AB" w:rsidRDefault="00DA27AB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 xml:space="preserve">A partire da uno dei brani </w:t>
      </w:r>
      <w:r>
        <w:rPr>
          <w:rFonts w:ascii="Calibri" w:eastAsia="Calibri" w:hAnsi="Calibri" w:cs="Calibri"/>
        </w:rPr>
        <w:t>de</w:t>
      </w:r>
      <w:r w:rsidRPr="00507B7E">
        <w:rPr>
          <w:rFonts w:ascii="Calibri" w:eastAsia="Calibri" w:hAnsi="Calibri" w:cs="Calibri"/>
        </w:rPr>
        <w:t>l Nuovo Testamento</w:t>
      </w:r>
      <w:r>
        <w:rPr>
          <w:rFonts w:ascii="Calibri" w:eastAsia="Calibri" w:hAnsi="Calibri" w:cs="Calibri"/>
        </w:rPr>
        <w:t xml:space="preserve"> citati nella parte biblica della penitenza</w:t>
      </w:r>
      <w:r w:rsidRPr="00507B7E">
        <w:rPr>
          <w:rFonts w:ascii="Calibri" w:eastAsia="Calibri" w:hAnsi="Calibri" w:cs="Calibri"/>
        </w:rPr>
        <w:t>, presentare la Buona Notizia della riconciliazione del cristiano peccatore, così come appare nell'episodio biblico scelto</w:t>
      </w:r>
    </w:p>
    <w:p w:rsidR="00161488" w:rsidRDefault="00A127B6" w:rsidP="00772E8A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161488">
        <w:rPr>
          <w:rFonts w:ascii="Calibri" w:eastAsia="Calibri" w:hAnsi="Calibri" w:cs="Calibri"/>
        </w:rPr>
        <w:t>I significati di “legare-sciogliere”, “rimettere-trattenere”</w:t>
      </w:r>
      <w:r w:rsidR="00161488">
        <w:rPr>
          <w:rFonts w:ascii="Calibri" w:eastAsia="Calibri" w:hAnsi="Calibri" w:cs="Calibri"/>
        </w:rPr>
        <w:t xml:space="preserve"> nei brani evangelici in cui sono riportate</w:t>
      </w:r>
      <w:r w:rsidRPr="00161488">
        <w:rPr>
          <w:rFonts w:ascii="Calibri" w:eastAsia="Calibri" w:hAnsi="Calibri" w:cs="Calibri"/>
        </w:rPr>
        <w:t>.</w:t>
      </w:r>
      <w:r w:rsidR="008A6BBF" w:rsidRPr="00161488">
        <w:rPr>
          <w:rFonts w:ascii="Calibri" w:eastAsia="Calibri" w:hAnsi="Calibri" w:cs="Calibri"/>
        </w:rPr>
        <w:t xml:space="preserve"> </w:t>
      </w:r>
    </w:p>
    <w:p w:rsidR="007E7DC0" w:rsidRPr="00161488" w:rsidRDefault="00161488" w:rsidP="00772E8A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="007E7DC0" w:rsidRPr="00161488">
        <w:rPr>
          <w:rFonts w:ascii="Calibri" w:eastAsia="Calibri" w:hAnsi="Calibri" w:cs="Calibri"/>
        </w:rPr>
        <w:t>Riconosciamo però un dato costante: il rapporto tra esclusione dalla comunità e esclusione dall'eucarestia e, viceversa, tra riconciliazione con la comunità e partecipazione al banchetto eucaristico</w:t>
      </w:r>
      <w:r>
        <w:rPr>
          <w:rFonts w:ascii="Calibri" w:eastAsia="Calibri" w:hAnsi="Calibri" w:cs="Calibri"/>
        </w:rPr>
        <w:t>”</w:t>
      </w:r>
      <w:r w:rsidR="007E7DC0" w:rsidRPr="00161488">
        <w:rPr>
          <w:rFonts w:ascii="Calibri" w:eastAsia="Calibri" w:hAnsi="Calibri" w:cs="Calibri"/>
        </w:rPr>
        <w:t xml:space="preserve"> (Giovanni Moioli).</w:t>
      </w:r>
    </w:p>
    <w:p w:rsidR="00DA27AB" w:rsidRDefault="00DA27AB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Pr="00507B7E">
        <w:rPr>
          <w:rFonts w:ascii="Calibri" w:eastAsia="Calibri" w:hAnsi="Calibri" w:cs="Calibri"/>
        </w:rPr>
        <w:t>e costanti e le novità tra le differenti forme che il sacramento della penitenza ha assunto lungo la storia</w:t>
      </w:r>
      <w:r>
        <w:rPr>
          <w:rFonts w:ascii="Calibri" w:eastAsia="Calibri" w:hAnsi="Calibri" w:cs="Calibri"/>
        </w:rPr>
        <w:t>: penitenza canonica, penitenza tariffata, confessione auricolare privata.</w:t>
      </w:r>
    </w:p>
    <w:p w:rsidR="00DA27AB" w:rsidRPr="00AC271F" w:rsidRDefault="00DA27AB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  <w:i/>
          <w:sz w:val="20"/>
        </w:rPr>
      </w:pPr>
      <w:bookmarkStart w:id="0" w:name="_GoBack"/>
      <w:r w:rsidRPr="00AC271F">
        <w:rPr>
          <w:rFonts w:ascii="Calibri" w:eastAsia="Calibri" w:hAnsi="Calibri" w:cs="Calibri"/>
          <w:i/>
          <w:sz w:val="20"/>
        </w:rPr>
        <w:t>Presentazione della “forma</w:t>
      </w:r>
      <w:r w:rsidR="001871D9" w:rsidRPr="00AC271F">
        <w:rPr>
          <w:rFonts w:ascii="Calibri" w:eastAsia="Calibri" w:hAnsi="Calibri" w:cs="Calibri"/>
          <w:i/>
          <w:sz w:val="20"/>
        </w:rPr>
        <w:t xml:space="preserve"> di assoluzione</w:t>
      </w:r>
      <w:r w:rsidRPr="00AC271F">
        <w:rPr>
          <w:rFonts w:ascii="Calibri" w:eastAsia="Calibri" w:hAnsi="Calibri" w:cs="Calibri"/>
          <w:i/>
          <w:sz w:val="20"/>
        </w:rPr>
        <w:t>”</w:t>
      </w:r>
      <w:r w:rsidR="00AB1CAA" w:rsidRPr="00AC271F">
        <w:rPr>
          <w:rFonts w:ascii="Calibri" w:eastAsia="Calibri" w:hAnsi="Calibri" w:cs="Calibri"/>
          <w:i/>
          <w:sz w:val="20"/>
        </w:rPr>
        <w:t xml:space="preserve"> (le parole del confessore)</w:t>
      </w:r>
      <w:r w:rsidRPr="00AC271F">
        <w:rPr>
          <w:rFonts w:ascii="Calibri" w:eastAsia="Calibri" w:hAnsi="Calibri" w:cs="Calibri"/>
          <w:i/>
          <w:sz w:val="20"/>
        </w:rPr>
        <w:t xml:space="preserve"> </w:t>
      </w:r>
      <w:r w:rsidR="001871D9" w:rsidRPr="00AC271F">
        <w:rPr>
          <w:rFonts w:ascii="Calibri" w:eastAsia="Calibri" w:hAnsi="Calibri" w:cs="Calibri"/>
          <w:i/>
          <w:sz w:val="20"/>
        </w:rPr>
        <w:t xml:space="preserve">nella celebrazione </w:t>
      </w:r>
      <w:r w:rsidRPr="00AC271F">
        <w:rPr>
          <w:rFonts w:ascii="Calibri" w:eastAsia="Calibri" w:hAnsi="Calibri" w:cs="Calibri"/>
          <w:i/>
          <w:sz w:val="20"/>
        </w:rPr>
        <w:t>del sacramento della penitenza.</w:t>
      </w:r>
    </w:p>
    <w:p w:rsidR="00DA27AB" w:rsidRPr="00AC271F" w:rsidRDefault="00DA27AB" w:rsidP="00DA27AB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  <w:i/>
          <w:sz w:val="20"/>
        </w:rPr>
      </w:pPr>
      <w:r w:rsidRPr="00AC271F">
        <w:rPr>
          <w:rFonts w:ascii="Calibri" w:eastAsia="Calibri" w:hAnsi="Calibri" w:cs="Calibri"/>
          <w:i/>
          <w:sz w:val="20"/>
        </w:rPr>
        <w:t>La celebrazione individuale (prima forma) del sacramento della riconciliazione: parole, gesti, atteggiamenti del ministro ordinato e del penitente.</w:t>
      </w:r>
    </w:p>
    <w:p w:rsidR="00DA27AB" w:rsidRPr="00AC271F" w:rsidRDefault="00DA27AB" w:rsidP="00DA27AB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  <w:i/>
          <w:sz w:val="20"/>
        </w:rPr>
      </w:pPr>
      <w:r w:rsidRPr="00AC271F">
        <w:rPr>
          <w:rFonts w:ascii="Calibri" w:eastAsia="Calibri" w:hAnsi="Calibri" w:cs="Calibri"/>
          <w:i/>
          <w:sz w:val="20"/>
        </w:rPr>
        <w:t>Le caratteristiche della seconda e della terza forma proposte dal Rituale postconciliare.</w:t>
      </w:r>
    </w:p>
    <w:bookmarkEnd w:id="0"/>
    <w:p w:rsidR="00DA27AB" w:rsidRPr="00DA27AB" w:rsidRDefault="00DA27AB" w:rsidP="00DA27AB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linee direttrici secondo le quali affrontare la questione: “Perché confessarsi da un prete e non dire i propri peccati direttamente a Dio?”.</w:t>
      </w:r>
    </w:p>
    <w:p w:rsidR="00F41591" w:rsidRDefault="00F41591" w:rsidP="00BC32A3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Interpretazioni deboli o addirittura fuorvianti de</w:t>
      </w:r>
      <w:r w:rsidR="00085C28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sacrament</w:t>
      </w:r>
      <w:r w:rsidR="00085C28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della </w:t>
      </w:r>
      <w:r w:rsidR="00085C28">
        <w:rPr>
          <w:rFonts w:ascii="Calibri" w:eastAsia="Calibri" w:hAnsi="Calibri" w:cs="Calibri"/>
        </w:rPr>
        <w:t>penitenza e dell’unzione degli infermi</w:t>
      </w:r>
      <w:r>
        <w:rPr>
          <w:rFonts w:ascii="Calibri" w:eastAsia="Calibri" w:hAnsi="Calibri" w:cs="Calibri"/>
        </w:rPr>
        <w:t>: terminologia, riferimenti, stili celebrativi.</w:t>
      </w:r>
    </w:p>
    <w:p w:rsidR="001871D9" w:rsidRPr="00507B7E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>A partire da uno dei brani citati dal Nuovo Testamento, presentare la Buona Notizia dell'intervento ecclesiale verso il cristiano malato, così come appare nell'episodio biblico scelto.</w:t>
      </w:r>
    </w:p>
    <w:p w:rsidR="001871D9" w:rsidRPr="00507B7E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>Le forme storiche della celebrazione sacramentale dell’unzione a favore dei cristiani malati.</w:t>
      </w:r>
    </w:p>
    <w:p w:rsidR="001871D9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>L</w:t>
      </w:r>
      <w:r w:rsidR="00A041DA">
        <w:rPr>
          <w:rFonts w:ascii="Calibri" w:eastAsia="Calibri" w:hAnsi="Calibri" w:cs="Calibri"/>
        </w:rPr>
        <w:t>a “linea teologica tedesca” e la</w:t>
      </w:r>
      <w:r w:rsidRPr="00507B7E">
        <w:rPr>
          <w:rFonts w:ascii="Calibri" w:eastAsia="Calibri" w:hAnsi="Calibri" w:cs="Calibri"/>
        </w:rPr>
        <w:t xml:space="preserve"> "linea teologica francese"</w:t>
      </w:r>
      <w:r>
        <w:rPr>
          <w:rFonts w:ascii="Calibri" w:eastAsia="Calibri" w:hAnsi="Calibri" w:cs="Calibri"/>
        </w:rPr>
        <w:t xml:space="preserve"> a proposito della </w:t>
      </w:r>
      <w:r w:rsidR="00A041DA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nzione</w:t>
      </w:r>
      <w:r w:rsidR="00A041DA">
        <w:rPr>
          <w:rFonts w:ascii="Calibri" w:eastAsia="Calibri" w:hAnsi="Calibri" w:cs="Calibri"/>
        </w:rPr>
        <w:t xml:space="preserve"> degli infermi.</w:t>
      </w:r>
    </w:p>
    <w:p w:rsidR="001871D9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Come si celebra la </w:t>
      </w:r>
      <w:r w:rsidR="00A041DA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nzione degli Infermi secondo il rituale del Concilio Vaticano II?</w:t>
      </w:r>
    </w:p>
    <w:p w:rsidR="001871D9" w:rsidRPr="001871D9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Presentazione della “forma dell’unzione” (le parole del ministro) nella celebrazione del sacramento della unzione.</w:t>
      </w:r>
    </w:p>
    <w:p w:rsidR="001871D9" w:rsidRDefault="001871D9" w:rsidP="001871D9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 w:rsidRPr="00507B7E">
        <w:rPr>
          <w:rFonts w:ascii="Calibri" w:eastAsia="Calibri" w:hAnsi="Calibri" w:cs="Calibri"/>
        </w:rPr>
        <w:t>Il “sollievo” del cristiano malato: le dimensioni della cura pastorale dell’infermo e la sua articolazione con l’unzione sacramentale.</w:t>
      </w:r>
    </w:p>
    <w:p w:rsidR="001871D9" w:rsidRPr="00A041DA" w:rsidRDefault="001871D9" w:rsidP="00A041DA">
      <w:pPr>
        <w:numPr>
          <w:ilvl w:val="0"/>
          <w:numId w:val="1"/>
        </w:numPr>
        <w:tabs>
          <w:tab w:val="left" w:pos="284"/>
        </w:tabs>
        <w:ind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linee direttrici secondo le quali affrontare la questione: “Perché celebrare l’</w:t>
      </w:r>
      <w:r w:rsidR="00A041DA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nzione</w:t>
      </w:r>
      <w:r w:rsidR="00A041DA">
        <w:rPr>
          <w:rFonts w:ascii="Calibri" w:eastAsia="Calibri" w:hAnsi="Calibri" w:cs="Calibri"/>
        </w:rPr>
        <w:t xml:space="preserve"> degli infermi</w:t>
      </w:r>
      <w:r>
        <w:rPr>
          <w:rFonts w:ascii="Calibri" w:eastAsia="Calibri" w:hAnsi="Calibri" w:cs="Calibri"/>
        </w:rPr>
        <w:t>?! Tanto non fa guarire!”.</w:t>
      </w:r>
    </w:p>
    <w:sectPr w:rsidR="001871D9" w:rsidRPr="00A041DA" w:rsidSect="00AF1C4E">
      <w:pgSz w:w="11906" w:h="16838" w:code="9"/>
      <w:pgMar w:top="794" w:right="794" w:bottom="794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98F" w:rsidRDefault="0068098F" w:rsidP="00A00F69">
      <w:r>
        <w:separator/>
      </w:r>
    </w:p>
  </w:endnote>
  <w:endnote w:type="continuationSeparator" w:id="0">
    <w:p w:rsidR="0068098F" w:rsidRDefault="0068098F" w:rsidP="00A0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98F" w:rsidRDefault="0068098F" w:rsidP="00A00F69">
      <w:r>
        <w:separator/>
      </w:r>
    </w:p>
  </w:footnote>
  <w:footnote w:type="continuationSeparator" w:id="0">
    <w:p w:rsidR="0068098F" w:rsidRDefault="0068098F" w:rsidP="00A0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88688A4"/>
    <w:lvl w:ilvl="0" w:tplc="A28090E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ascii="Calibri" w:eastAsia="Times New Roman" w:hAnsi="Calibri" w:cs="Calibri"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1" w:tplc="7B027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3F6DC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E8ED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99802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4A89E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E5E51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E9000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C5A15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2503"/>
    <w:rsid w:val="000137ED"/>
    <w:rsid w:val="00040DDE"/>
    <w:rsid w:val="0004431D"/>
    <w:rsid w:val="00054842"/>
    <w:rsid w:val="00063C4B"/>
    <w:rsid w:val="00085C28"/>
    <w:rsid w:val="00085F60"/>
    <w:rsid w:val="00096CD2"/>
    <w:rsid w:val="000C4784"/>
    <w:rsid w:val="00131ED9"/>
    <w:rsid w:val="00151B9D"/>
    <w:rsid w:val="00161488"/>
    <w:rsid w:val="0017057F"/>
    <w:rsid w:val="001871D9"/>
    <w:rsid w:val="001B4532"/>
    <w:rsid w:val="001B4586"/>
    <w:rsid w:val="001C2002"/>
    <w:rsid w:val="0023094A"/>
    <w:rsid w:val="00251FD4"/>
    <w:rsid w:val="00273B9E"/>
    <w:rsid w:val="002752E9"/>
    <w:rsid w:val="00313503"/>
    <w:rsid w:val="00387867"/>
    <w:rsid w:val="003D1F70"/>
    <w:rsid w:val="003F67D5"/>
    <w:rsid w:val="00414B8D"/>
    <w:rsid w:val="0044170E"/>
    <w:rsid w:val="00451CEB"/>
    <w:rsid w:val="00452F36"/>
    <w:rsid w:val="00477248"/>
    <w:rsid w:val="00486C00"/>
    <w:rsid w:val="00507B7E"/>
    <w:rsid w:val="00515622"/>
    <w:rsid w:val="00523F98"/>
    <w:rsid w:val="0052767C"/>
    <w:rsid w:val="00536CAF"/>
    <w:rsid w:val="00542784"/>
    <w:rsid w:val="005724E7"/>
    <w:rsid w:val="00595091"/>
    <w:rsid w:val="005E222D"/>
    <w:rsid w:val="006615A6"/>
    <w:rsid w:val="0068098F"/>
    <w:rsid w:val="006A4D36"/>
    <w:rsid w:val="006B1B5A"/>
    <w:rsid w:val="00710C4D"/>
    <w:rsid w:val="00761C4A"/>
    <w:rsid w:val="00772E8A"/>
    <w:rsid w:val="007B460D"/>
    <w:rsid w:val="007D2CBB"/>
    <w:rsid w:val="007E7DC0"/>
    <w:rsid w:val="008652E4"/>
    <w:rsid w:val="00867327"/>
    <w:rsid w:val="00881B8F"/>
    <w:rsid w:val="008A6BBF"/>
    <w:rsid w:val="008C66F7"/>
    <w:rsid w:val="008E3549"/>
    <w:rsid w:val="008E5566"/>
    <w:rsid w:val="008E6429"/>
    <w:rsid w:val="00947B23"/>
    <w:rsid w:val="009A5DC0"/>
    <w:rsid w:val="009D4C2C"/>
    <w:rsid w:val="009F41BF"/>
    <w:rsid w:val="00A00F69"/>
    <w:rsid w:val="00A041DA"/>
    <w:rsid w:val="00A127B6"/>
    <w:rsid w:val="00A31147"/>
    <w:rsid w:val="00A376C5"/>
    <w:rsid w:val="00A71FCC"/>
    <w:rsid w:val="00A77B3E"/>
    <w:rsid w:val="00A85C9D"/>
    <w:rsid w:val="00AB1CAA"/>
    <w:rsid w:val="00AC271F"/>
    <w:rsid w:val="00AC626F"/>
    <w:rsid w:val="00AD4AE9"/>
    <w:rsid w:val="00AE4E8F"/>
    <w:rsid w:val="00AF1C4E"/>
    <w:rsid w:val="00B2428A"/>
    <w:rsid w:val="00B56680"/>
    <w:rsid w:val="00B664BA"/>
    <w:rsid w:val="00BA6568"/>
    <w:rsid w:val="00BB2FE2"/>
    <w:rsid w:val="00BC0144"/>
    <w:rsid w:val="00BC32A3"/>
    <w:rsid w:val="00BC547D"/>
    <w:rsid w:val="00BD4304"/>
    <w:rsid w:val="00C247F6"/>
    <w:rsid w:val="00C61787"/>
    <w:rsid w:val="00C6562D"/>
    <w:rsid w:val="00C9508A"/>
    <w:rsid w:val="00C96403"/>
    <w:rsid w:val="00CB113F"/>
    <w:rsid w:val="00CC29A4"/>
    <w:rsid w:val="00CE4698"/>
    <w:rsid w:val="00D528AB"/>
    <w:rsid w:val="00D86E54"/>
    <w:rsid w:val="00DA27AB"/>
    <w:rsid w:val="00DF0809"/>
    <w:rsid w:val="00E0046A"/>
    <w:rsid w:val="00E444CE"/>
    <w:rsid w:val="00E51AD8"/>
    <w:rsid w:val="00E620F5"/>
    <w:rsid w:val="00EF1E2E"/>
    <w:rsid w:val="00EF201C"/>
    <w:rsid w:val="00F27B9A"/>
    <w:rsid w:val="00F27E7B"/>
    <w:rsid w:val="00F41591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40AFC6-6DCF-48D3-A48D-6EDB169F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C66F7"/>
    <w:rPr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F7B96"/>
    <w:pPr>
      <w:jc w:val="center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00F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0F69"/>
    <w:rPr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00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F69"/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F1C4E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A376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76C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paleari@seminario.milano.it" TargetMode="External"/><Relationship Id="rId13" Type="http://schemas.openxmlformats.org/officeDocument/2006/relationships/hyperlink" Target="http://www.seitreseiuno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eari" TargetMode="External"/><Relationship Id="rId12" Type="http://schemas.openxmlformats.org/officeDocument/2006/relationships/hyperlink" Target="http://www.seitreseiuno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itreseiuno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." TargetMode="External"/><Relationship Id="rId14" Type="http://schemas.openxmlformats.org/officeDocument/2006/relationships/hyperlink" Target="http://www.seitreseiuno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Paleari</dc:creator>
  <cp:lastModifiedBy>Marco Paleari</cp:lastModifiedBy>
  <cp:revision>3</cp:revision>
  <cp:lastPrinted>2019-05-10T06:53:00Z</cp:lastPrinted>
  <dcterms:created xsi:type="dcterms:W3CDTF">2024-01-19T07:49:00Z</dcterms:created>
  <dcterms:modified xsi:type="dcterms:W3CDTF">2024-01-19T07:51:00Z</dcterms:modified>
</cp:coreProperties>
</file>