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FBB" w:rsidRDefault="00A15FBB" w:rsidP="00A15FBB">
      <w:pPr>
        <w:jc w:val="both"/>
        <w:rPr>
          <w:sz w:val="28"/>
          <w:szCs w:val="28"/>
        </w:rPr>
      </w:pPr>
      <w:r>
        <w:rPr>
          <w:sz w:val="28"/>
          <w:szCs w:val="28"/>
        </w:rPr>
        <w:t xml:space="preserve">V. Costa, </w:t>
      </w:r>
      <w:r w:rsidRPr="00A15FBB">
        <w:rPr>
          <w:i/>
          <w:sz w:val="28"/>
          <w:szCs w:val="28"/>
        </w:rPr>
        <w:t>Fenomenologia dell’educazione e della formazione</w:t>
      </w:r>
      <w:r>
        <w:rPr>
          <w:sz w:val="28"/>
          <w:szCs w:val="28"/>
        </w:rPr>
        <w:t>, Brescia, La scuola 2015</w:t>
      </w:r>
    </w:p>
    <w:p w:rsidR="00A15FBB" w:rsidRDefault="00A15FBB" w:rsidP="00A15FBB">
      <w:pPr>
        <w:jc w:val="both"/>
        <w:rPr>
          <w:sz w:val="28"/>
          <w:szCs w:val="28"/>
        </w:rPr>
      </w:pPr>
    </w:p>
    <w:p w:rsidR="00A15FBB" w:rsidRDefault="00A15FBB" w:rsidP="00A15FBB">
      <w:pPr>
        <w:jc w:val="both"/>
        <w:rPr>
          <w:sz w:val="28"/>
          <w:szCs w:val="28"/>
        </w:rPr>
      </w:pPr>
    </w:p>
    <w:p w:rsidR="00D84853" w:rsidRPr="00A15FBB" w:rsidRDefault="0066457D" w:rsidP="00A15FBB">
      <w:pPr>
        <w:jc w:val="both"/>
        <w:rPr>
          <w:sz w:val="28"/>
          <w:szCs w:val="28"/>
        </w:rPr>
      </w:pPr>
      <w:r w:rsidRPr="00A15FBB">
        <w:rPr>
          <w:sz w:val="28"/>
          <w:szCs w:val="28"/>
        </w:rPr>
        <w:t>“Si tratta di prendere le distanze dall’idea secondo cui la pedagogia debba trarre i propri strumenti interpretativi da altre discipline. Essa deve, invece, innanzitutto svolgere una funzione di “disvelamento della regione ontologica dell’educazione”</w:t>
      </w:r>
      <w:r w:rsidR="00A15FBB">
        <w:rPr>
          <w:rStyle w:val="Rimandonotaapidipagina"/>
          <w:sz w:val="28"/>
          <w:szCs w:val="28"/>
        </w:rPr>
        <w:footnoteReference w:id="1"/>
      </w:r>
      <w:r w:rsidRPr="00A15FBB">
        <w:rPr>
          <w:sz w:val="28"/>
          <w:szCs w:val="28"/>
        </w:rPr>
        <w:t>. Questo disvelamento avviene mettendo in luce le caratteristiche strutturali dell’esperienza educativa, che abbiamo individuato nell’aprire il soggetto ai suoi possibili, rendendolo abile ad abitare il mondo a cui è consegnato</w:t>
      </w:r>
      <w:r w:rsidR="00A15FBB">
        <w:rPr>
          <w:sz w:val="28"/>
          <w:szCs w:val="28"/>
        </w:rPr>
        <w:t>”</w:t>
      </w:r>
      <w:r w:rsidRPr="00A15FBB">
        <w:rPr>
          <w:sz w:val="28"/>
          <w:szCs w:val="28"/>
        </w:rPr>
        <w:t xml:space="preserve"> (V. Costa, 861)</w:t>
      </w:r>
    </w:p>
    <w:p w:rsidR="0066457D" w:rsidRPr="00A15FBB" w:rsidRDefault="0066457D" w:rsidP="00A15FBB">
      <w:pPr>
        <w:jc w:val="both"/>
        <w:rPr>
          <w:sz w:val="28"/>
          <w:szCs w:val="28"/>
        </w:rPr>
      </w:pPr>
      <w:r w:rsidRPr="00A15FBB">
        <w:rPr>
          <w:sz w:val="28"/>
          <w:szCs w:val="28"/>
        </w:rPr>
        <w:t>“La critica al riduzionismo non riguarda una discussione di carattere generale, ma deve radicarsi in una messa in luce dell’ontologia dell’educazione, per c</w:t>
      </w:r>
      <w:r w:rsidR="003F6582">
        <w:rPr>
          <w:sz w:val="28"/>
          <w:szCs w:val="28"/>
        </w:rPr>
        <w:t>u</w:t>
      </w:r>
      <w:bookmarkStart w:id="0" w:name="_GoBack"/>
      <w:bookmarkEnd w:id="0"/>
      <w:r w:rsidRPr="00A15FBB">
        <w:rPr>
          <w:sz w:val="28"/>
          <w:szCs w:val="28"/>
        </w:rPr>
        <w:t>i è riduzionista ogni teoria che si costituisce rimuovendo aspetti essenziali della relazione educativa così come essa si dà nel vissuto delle persone, cioè ogni teoria che occulta il carattere dell’educazione come una relazione che apre al possibile e all’orizzonte del mondo in quanto totalità di possibilità”</w:t>
      </w:r>
      <w:r w:rsidR="00630DB6" w:rsidRPr="00A15FBB">
        <w:rPr>
          <w:sz w:val="28"/>
          <w:szCs w:val="28"/>
        </w:rPr>
        <w:t xml:space="preserve"> (V. Costa, 852)</w:t>
      </w:r>
    </w:p>
    <w:p w:rsidR="00D352BD" w:rsidRPr="00A15FBB" w:rsidRDefault="00D352BD" w:rsidP="00A15FBB">
      <w:pPr>
        <w:jc w:val="both"/>
        <w:rPr>
          <w:sz w:val="28"/>
          <w:szCs w:val="28"/>
        </w:rPr>
      </w:pPr>
      <w:r w:rsidRPr="00A15FBB">
        <w:rPr>
          <w:sz w:val="28"/>
          <w:szCs w:val="28"/>
        </w:rPr>
        <w:t xml:space="preserve">“[…] aprire al possibile significa rendere abili ad abitare l’orizzonte di significati che ci è destinato, e questa abilità è quella che resta quando tutti i contenuti sono stati dimenticati. In fondo, si tratta forse di liberarsi da un’ontologia della memoria secondo cui </w:t>
      </w:r>
      <w:r w:rsidRPr="00A15FBB">
        <w:rPr>
          <w:i/>
          <w:sz w:val="28"/>
          <w:szCs w:val="28"/>
        </w:rPr>
        <w:t>la memoria ha a che fare con la presenza a sé</w:t>
      </w:r>
      <w:r w:rsidRPr="00A15FBB">
        <w:rPr>
          <w:sz w:val="28"/>
          <w:szCs w:val="28"/>
        </w:rPr>
        <w:t xml:space="preserve">, co il possesso costante di contenuti, e dunque con una </w:t>
      </w:r>
      <w:r w:rsidRPr="00A15FBB">
        <w:rPr>
          <w:i/>
          <w:sz w:val="28"/>
          <w:szCs w:val="28"/>
        </w:rPr>
        <w:t>idea di soggettività come presenza a sé</w:t>
      </w:r>
      <w:r w:rsidRPr="00A15FBB">
        <w:rPr>
          <w:sz w:val="28"/>
          <w:szCs w:val="28"/>
        </w:rPr>
        <w:t>”</w:t>
      </w:r>
    </w:p>
    <w:p w:rsidR="00630DB6" w:rsidRPr="00A15FBB" w:rsidRDefault="00630DB6" w:rsidP="00A15FBB">
      <w:pPr>
        <w:jc w:val="both"/>
        <w:rPr>
          <w:sz w:val="28"/>
          <w:szCs w:val="28"/>
        </w:rPr>
      </w:pPr>
      <w:r w:rsidRPr="00A15FBB">
        <w:rPr>
          <w:sz w:val="28"/>
          <w:szCs w:val="28"/>
        </w:rPr>
        <w:t xml:space="preserve">“Nella misura in cui si innesta e non viene negoziata con i contesti del mondo della vita, l’insegnamento scolastico </w:t>
      </w:r>
      <w:r w:rsidRPr="00A15FBB">
        <w:rPr>
          <w:i/>
          <w:sz w:val="28"/>
          <w:szCs w:val="28"/>
        </w:rPr>
        <w:t>non risulta formativo</w:t>
      </w:r>
      <w:r w:rsidR="00D352BD" w:rsidRPr="00A15FBB">
        <w:rPr>
          <w:sz w:val="28"/>
          <w:szCs w:val="28"/>
        </w:rPr>
        <w:t>, perché ignora che i soggetti da educare si muovono già in un ambiente simbolico. Si forma così una spirale al cui interno studenti e genitori incolpano del fallimento gli insegnanti e gli insegnanti i ragazzi e la loro cultura di provenienza” (V. Costa, 390)</w:t>
      </w:r>
    </w:p>
    <w:p w:rsidR="00630DB6" w:rsidRPr="00A15FBB" w:rsidRDefault="00630DB6" w:rsidP="00A15FBB">
      <w:pPr>
        <w:jc w:val="both"/>
        <w:rPr>
          <w:sz w:val="28"/>
          <w:szCs w:val="28"/>
        </w:rPr>
      </w:pPr>
      <w:r w:rsidRPr="00A15FBB">
        <w:rPr>
          <w:sz w:val="28"/>
          <w:szCs w:val="28"/>
        </w:rPr>
        <w:t xml:space="preserve">“La formazione non dovrà principalmente mirare a trasmettere contenuti, ma a rendere il soggetto capace di </w:t>
      </w:r>
      <w:proofErr w:type="spellStart"/>
      <w:r w:rsidRPr="00A15FBB">
        <w:rPr>
          <w:sz w:val="28"/>
          <w:szCs w:val="28"/>
        </w:rPr>
        <w:t>ri</w:t>
      </w:r>
      <w:proofErr w:type="spellEnd"/>
      <w:r w:rsidRPr="00A15FBB">
        <w:rPr>
          <w:sz w:val="28"/>
          <w:szCs w:val="28"/>
        </w:rPr>
        <w:t xml:space="preserve">-formarsi o decostruirsi senza sosta, dunque di </w:t>
      </w:r>
      <w:r w:rsidRPr="00A15FBB">
        <w:rPr>
          <w:i/>
          <w:sz w:val="28"/>
          <w:szCs w:val="28"/>
        </w:rPr>
        <w:t>aver cura del proprio sé all’interno della motilità dell’esistenza</w:t>
      </w:r>
      <w:r w:rsidRPr="00A15FBB">
        <w:rPr>
          <w:sz w:val="28"/>
          <w:szCs w:val="28"/>
        </w:rPr>
        <w:t>”</w:t>
      </w:r>
      <w:r w:rsidR="00D352BD" w:rsidRPr="00A15FBB">
        <w:rPr>
          <w:sz w:val="28"/>
          <w:szCs w:val="28"/>
        </w:rPr>
        <w:t xml:space="preserve"> (V. Costa, 516)</w:t>
      </w:r>
    </w:p>
    <w:p w:rsidR="00D352BD" w:rsidRPr="00A15FBB" w:rsidRDefault="00D352BD" w:rsidP="00A15FBB">
      <w:pPr>
        <w:jc w:val="both"/>
        <w:rPr>
          <w:sz w:val="28"/>
          <w:szCs w:val="28"/>
        </w:rPr>
      </w:pPr>
      <w:r w:rsidRPr="00A15FBB">
        <w:rPr>
          <w:sz w:val="28"/>
          <w:szCs w:val="28"/>
        </w:rPr>
        <w:t>“Si tratta di mettere la persona in condizione di avere cura della propria vita, dove cura non significa cura della malattia, bensì formazione delle capacità di autodeterminarsi</w:t>
      </w:r>
      <w:r w:rsidR="00AC5B73" w:rsidRPr="00A15FBB">
        <w:rPr>
          <w:sz w:val="28"/>
          <w:szCs w:val="28"/>
        </w:rPr>
        <w:t xml:space="preserve"> e di costruire narrazioni di sé</w:t>
      </w:r>
      <w:r w:rsidRPr="00A15FBB">
        <w:rPr>
          <w:sz w:val="28"/>
          <w:szCs w:val="28"/>
        </w:rPr>
        <w:t>” (V. Costa, 516)</w:t>
      </w:r>
    </w:p>
    <w:p w:rsidR="00AC5B73" w:rsidRPr="00A15FBB" w:rsidRDefault="00AC5B73" w:rsidP="00A15FBB">
      <w:pPr>
        <w:jc w:val="both"/>
        <w:rPr>
          <w:i/>
          <w:sz w:val="28"/>
          <w:szCs w:val="28"/>
        </w:rPr>
      </w:pPr>
      <w:r w:rsidRPr="00A15FBB">
        <w:rPr>
          <w:sz w:val="28"/>
          <w:szCs w:val="28"/>
        </w:rPr>
        <w:lastRenderedPageBreak/>
        <w:t xml:space="preserve">ESEMPIO: </w:t>
      </w:r>
      <w:r w:rsidRPr="00A15FBB">
        <w:rPr>
          <w:i/>
          <w:sz w:val="28"/>
          <w:szCs w:val="28"/>
        </w:rPr>
        <w:t>la questione della narratività come risposta pedagogica all’apertura di senso determinata dal mondo della vita relativo alla modernità e alla postmodernità</w:t>
      </w:r>
    </w:p>
    <w:p w:rsidR="00AC5B73" w:rsidRPr="00A15FBB" w:rsidRDefault="00AC5B73" w:rsidP="00A15FBB">
      <w:pPr>
        <w:jc w:val="both"/>
        <w:rPr>
          <w:sz w:val="28"/>
          <w:szCs w:val="28"/>
        </w:rPr>
      </w:pPr>
      <w:r w:rsidRPr="00A15FBB">
        <w:rPr>
          <w:sz w:val="28"/>
          <w:szCs w:val="28"/>
        </w:rPr>
        <w:t>“</w:t>
      </w:r>
      <w:r w:rsidR="00071D7B" w:rsidRPr="00A15FBB">
        <w:rPr>
          <w:sz w:val="28"/>
          <w:szCs w:val="28"/>
        </w:rPr>
        <w:t xml:space="preserve">Ogni concreto mondo della vita ha caratteri indicanti […] Così nel medioevo, in una società statica in cui si nasceva e si moriva nello stesso luogo, e nascendo e crescendo si sapeva chi si era e quale lavoro si sarebbe fatto, la formazione professionale e quella dell’identità personale si articolavano unitariamente, dato che assumere la propria identità personale coincideva con il prendere posto in un ordine già dato, cioè nell’apprendere il lavoro che si sarebbe svolto, e rispondere alla domanda “chi sei?” significava sapere indicare quale era la propria posizione in questo ordine. Al contrario, nella modernità e nella post-modernità è la stessa rapidità del cambiamento del mondo della vita a implicare la ricerca di un’identità personale che assume carattere temporale, precario e che esige la narratività, un nuovo rapporto con </w:t>
      </w:r>
      <w:proofErr w:type="gramStart"/>
      <w:r w:rsidR="00071D7B" w:rsidRPr="00A15FBB">
        <w:rPr>
          <w:sz w:val="28"/>
          <w:szCs w:val="28"/>
        </w:rPr>
        <w:t>se</w:t>
      </w:r>
      <w:proofErr w:type="gramEnd"/>
      <w:r w:rsidR="00071D7B" w:rsidRPr="00A15FBB">
        <w:rPr>
          <w:sz w:val="28"/>
          <w:szCs w:val="28"/>
        </w:rPr>
        <w:t xml:space="preserve"> stessi come abilità fondamentale per abitare questo tipo di apertura di senso in quanto persona” (V. Costa, 547)</w:t>
      </w:r>
    </w:p>
    <w:p w:rsidR="00C958E9" w:rsidRDefault="00C958E9" w:rsidP="00A15FBB">
      <w:pPr>
        <w:jc w:val="both"/>
        <w:rPr>
          <w:sz w:val="28"/>
          <w:szCs w:val="28"/>
        </w:rPr>
      </w:pPr>
      <w:r w:rsidRPr="00A15FBB">
        <w:rPr>
          <w:sz w:val="28"/>
          <w:szCs w:val="28"/>
        </w:rPr>
        <w:t>“il rapporto tra scuola e mondo della vita […] dovrà emergere dai fenomeni stessi, dall’esplicitazione intenzionale del fenomeno dell’esperienza quotidiana perché è questa a dettare le esigenze educative e della formazione. Non si tratterà, dunque, di gettare sul mondo della vita e sull’esperienza effettiva e concreta dell’educazione schemi teorici estranei, tratti da ambiti ontologici ad essa eterogenei, per esempio dalle esigenze del mercato, dall’esigenza dello Stato di formare buoni cittadini, dai risultati, per principio fallibili e rivedibili, delle neuroscienze” (V. Costa, 553-554)</w:t>
      </w:r>
    </w:p>
    <w:p w:rsidR="00A15FBB" w:rsidRDefault="00A15FBB" w:rsidP="00A15FBB">
      <w:pPr>
        <w:jc w:val="both"/>
        <w:rPr>
          <w:sz w:val="28"/>
          <w:szCs w:val="28"/>
        </w:rPr>
      </w:pPr>
    </w:p>
    <w:p w:rsidR="00A15FBB" w:rsidRDefault="00A15FBB" w:rsidP="00A15FBB">
      <w:pPr>
        <w:jc w:val="both"/>
        <w:rPr>
          <w:sz w:val="28"/>
          <w:szCs w:val="28"/>
        </w:rPr>
      </w:pPr>
    </w:p>
    <w:p w:rsidR="00A15FBB" w:rsidRDefault="00A15FBB" w:rsidP="00A15FBB">
      <w:pPr>
        <w:jc w:val="both"/>
        <w:rPr>
          <w:sz w:val="28"/>
          <w:szCs w:val="28"/>
        </w:rPr>
      </w:pPr>
    </w:p>
    <w:p w:rsidR="00A15FBB" w:rsidRPr="00A15FBB" w:rsidRDefault="00A15FBB" w:rsidP="00A15FBB">
      <w:pPr>
        <w:jc w:val="both"/>
        <w:rPr>
          <w:sz w:val="28"/>
          <w:szCs w:val="28"/>
        </w:rPr>
      </w:pPr>
      <w:r>
        <w:rPr>
          <w:sz w:val="28"/>
          <w:szCs w:val="28"/>
        </w:rPr>
        <w:t xml:space="preserve">N.B. </w:t>
      </w:r>
      <w:r w:rsidRPr="00A15FBB">
        <w:rPr>
          <w:i/>
          <w:sz w:val="28"/>
          <w:szCs w:val="28"/>
        </w:rPr>
        <w:t>I numeri di pagina si riferiscono alla versione digitale</w:t>
      </w:r>
    </w:p>
    <w:p w:rsidR="00071D7B" w:rsidRPr="00A15FBB" w:rsidRDefault="00071D7B" w:rsidP="00A15FBB">
      <w:pPr>
        <w:jc w:val="both"/>
        <w:rPr>
          <w:sz w:val="28"/>
          <w:szCs w:val="28"/>
        </w:rPr>
      </w:pPr>
    </w:p>
    <w:sectPr w:rsidR="00071D7B" w:rsidRPr="00A15FBB" w:rsidSect="00305B8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636" w:rsidRDefault="004B0636" w:rsidP="004B0636">
      <w:pPr>
        <w:spacing w:after="0" w:line="240" w:lineRule="auto"/>
      </w:pPr>
      <w:r>
        <w:separator/>
      </w:r>
    </w:p>
  </w:endnote>
  <w:endnote w:type="continuationSeparator" w:id="0">
    <w:p w:rsidR="004B0636" w:rsidRDefault="004B0636" w:rsidP="004B0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636" w:rsidRDefault="004B0636" w:rsidP="004B0636">
      <w:pPr>
        <w:spacing w:after="0" w:line="240" w:lineRule="auto"/>
      </w:pPr>
      <w:r>
        <w:separator/>
      </w:r>
    </w:p>
  </w:footnote>
  <w:footnote w:type="continuationSeparator" w:id="0">
    <w:p w:rsidR="004B0636" w:rsidRDefault="004B0636" w:rsidP="004B0636">
      <w:pPr>
        <w:spacing w:after="0" w:line="240" w:lineRule="auto"/>
      </w:pPr>
      <w:r>
        <w:continuationSeparator/>
      </w:r>
    </w:p>
  </w:footnote>
  <w:footnote w:id="1">
    <w:p w:rsidR="00A15FBB" w:rsidRPr="00A15FBB" w:rsidRDefault="00A15FBB">
      <w:pPr>
        <w:pStyle w:val="Testonotaapidipagina"/>
        <w:rPr>
          <w:sz w:val="24"/>
          <w:szCs w:val="24"/>
        </w:rPr>
      </w:pPr>
      <w:r>
        <w:rPr>
          <w:rStyle w:val="Rimandonotaapidipagina"/>
        </w:rPr>
        <w:footnoteRef/>
      </w:r>
      <w:r>
        <w:t xml:space="preserve"> </w:t>
      </w:r>
      <w:r w:rsidRPr="00A15FBB">
        <w:rPr>
          <w:sz w:val="28"/>
          <w:szCs w:val="28"/>
        </w:rPr>
        <w:t xml:space="preserve">V. </w:t>
      </w:r>
      <w:proofErr w:type="spellStart"/>
      <w:r w:rsidRPr="00A15FBB">
        <w:rPr>
          <w:sz w:val="28"/>
          <w:szCs w:val="28"/>
        </w:rPr>
        <w:t>Iori</w:t>
      </w:r>
      <w:proofErr w:type="spellEnd"/>
      <w:r w:rsidRPr="00A15FBB">
        <w:rPr>
          <w:sz w:val="28"/>
          <w:szCs w:val="28"/>
        </w:rPr>
        <w:t xml:space="preserve">, </w:t>
      </w:r>
      <w:r w:rsidRPr="00A15FBB">
        <w:rPr>
          <w:i/>
          <w:sz w:val="28"/>
          <w:szCs w:val="28"/>
        </w:rPr>
        <w:t>Filosofia dell’educazione. Per una ricerca di senso nell’agire educativo</w:t>
      </w:r>
      <w:r w:rsidRPr="00A15FBB">
        <w:rPr>
          <w:sz w:val="28"/>
          <w:szCs w:val="28"/>
        </w:rPr>
        <w:t>, Guerini, Milano 2000,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955126"/>
      <w:docPartObj>
        <w:docPartGallery w:val="Page Numbers (Top of Page)"/>
        <w:docPartUnique/>
      </w:docPartObj>
    </w:sdtPr>
    <w:sdtEndPr/>
    <w:sdtContent>
      <w:p w:rsidR="004B0636" w:rsidRDefault="007D4045">
        <w:pPr>
          <w:pStyle w:val="Intestazione"/>
          <w:jc w:val="center"/>
        </w:pPr>
        <w:r>
          <w:fldChar w:fldCharType="begin"/>
        </w:r>
        <w:r>
          <w:instrText xml:space="preserve"> PAGE   \* MERGEFORMAT </w:instrText>
        </w:r>
        <w:r>
          <w:fldChar w:fldCharType="separate"/>
        </w:r>
        <w:r w:rsidR="004B0636">
          <w:rPr>
            <w:noProof/>
          </w:rPr>
          <w:t>1</w:t>
        </w:r>
        <w:r>
          <w:rPr>
            <w:noProof/>
          </w:rPr>
          <w:fldChar w:fldCharType="end"/>
        </w:r>
      </w:p>
    </w:sdtContent>
  </w:sdt>
  <w:p w:rsidR="004B0636" w:rsidRDefault="004B063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7D"/>
    <w:rsid w:val="00071D7B"/>
    <w:rsid w:val="00305B89"/>
    <w:rsid w:val="003F6582"/>
    <w:rsid w:val="004B0636"/>
    <w:rsid w:val="00630DB6"/>
    <w:rsid w:val="0066457D"/>
    <w:rsid w:val="007D4045"/>
    <w:rsid w:val="00A15FBB"/>
    <w:rsid w:val="00AC5B73"/>
    <w:rsid w:val="00C958E9"/>
    <w:rsid w:val="00D352BD"/>
    <w:rsid w:val="00D848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F0AF"/>
  <w15:docId w15:val="{80C8287A-505E-475E-986C-63D9348C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5B8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B06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0636"/>
  </w:style>
  <w:style w:type="paragraph" w:styleId="Pidipagina">
    <w:name w:val="footer"/>
    <w:basedOn w:val="Normale"/>
    <w:link w:val="PidipaginaCarattere"/>
    <w:uiPriority w:val="99"/>
    <w:semiHidden/>
    <w:unhideWhenUsed/>
    <w:rsid w:val="004B06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B0636"/>
  </w:style>
  <w:style w:type="paragraph" w:styleId="Testonotaapidipagina">
    <w:name w:val="footnote text"/>
    <w:basedOn w:val="Normale"/>
    <w:link w:val="TestonotaapidipaginaCarattere"/>
    <w:uiPriority w:val="99"/>
    <w:semiHidden/>
    <w:unhideWhenUsed/>
    <w:rsid w:val="00A15FB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15FBB"/>
    <w:rPr>
      <w:sz w:val="20"/>
      <w:szCs w:val="20"/>
    </w:rPr>
  </w:style>
  <w:style w:type="character" w:styleId="Rimandonotaapidipagina">
    <w:name w:val="footnote reference"/>
    <w:basedOn w:val="Carpredefinitoparagrafo"/>
    <w:uiPriority w:val="99"/>
    <w:semiHidden/>
    <w:unhideWhenUsed/>
    <w:rsid w:val="00A15F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B7404-B297-42B4-B326-691B98BE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jr881</dc:creator>
  <cp:keywords/>
  <dc:description/>
  <cp:lastModifiedBy>jr881 </cp:lastModifiedBy>
  <cp:revision>2</cp:revision>
  <cp:lastPrinted>2019-12-12T10:54:00Z</cp:lastPrinted>
  <dcterms:created xsi:type="dcterms:W3CDTF">2020-01-05T23:09:00Z</dcterms:created>
  <dcterms:modified xsi:type="dcterms:W3CDTF">2020-01-05T23:09:00Z</dcterms:modified>
</cp:coreProperties>
</file>